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20" w:lineRule="atLeast"/>
        <w:rPr>
          <w:rFonts w:ascii="黑体" w:hAnsi="黑体" w:eastAsia="黑体" w:cs="黑体"/>
          <w:bCs/>
          <w:color w:val="auto"/>
          <w:sz w:val="28"/>
        </w:rPr>
      </w:pPr>
      <w:r>
        <w:rPr>
          <w:rFonts w:hint="eastAsia" w:ascii="黑体" w:hAnsi="黑体" w:eastAsia="黑体" w:cs="黑体"/>
          <w:bCs/>
          <w:color w:val="auto"/>
          <w:sz w:val="28"/>
        </w:rPr>
        <w:t>附件</w:t>
      </w:r>
    </w:p>
    <w:p>
      <w:pPr>
        <w:spacing w:line="220" w:lineRule="atLeast"/>
        <w:jc w:val="center"/>
        <w:rPr>
          <w:rFonts w:asciiTheme="majorEastAsia" w:hAnsiTheme="majorEastAsia" w:eastAsiaTheme="majorEastAsia"/>
          <w:b/>
          <w:color w:val="auto"/>
          <w:sz w:val="28"/>
        </w:rPr>
      </w:pPr>
      <w:r>
        <w:rPr>
          <w:rFonts w:hint="eastAsia" w:asciiTheme="majorEastAsia" w:hAnsiTheme="majorEastAsia" w:eastAsiaTheme="majorEastAsia"/>
          <w:b/>
          <w:color w:val="auto"/>
          <w:sz w:val="28"/>
        </w:rPr>
        <w:t>中外合作办学机构信息表（19</w:t>
      </w:r>
      <w:r>
        <w:rPr>
          <w:rFonts w:hint="eastAsia" w:asciiTheme="majorEastAsia" w:hAnsiTheme="majorEastAsia" w:eastAsiaTheme="majorEastAsia"/>
          <w:b/>
          <w:color w:val="auto"/>
          <w:sz w:val="28"/>
          <w:lang w:val="en-US" w:eastAsia="zh-CN"/>
        </w:rPr>
        <w:t>72</w:t>
      </w:r>
      <w:r>
        <w:rPr>
          <w:rFonts w:hint="eastAsia" w:asciiTheme="majorEastAsia" w:hAnsiTheme="majorEastAsia" w:eastAsiaTheme="majorEastAsia"/>
          <w:b/>
          <w:color w:val="auto"/>
          <w:sz w:val="28"/>
        </w:rPr>
        <w:t>N）</w:t>
      </w:r>
    </w:p>
    <w:tbl>
      <w:tblPr>
        <w:tblStyle w:val="5"/>
        <w:tblW w:w="1492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37"/>
        <w:gridCol w:w="6321"/>
        <w:gridCol w:w="2673"/>
        <w:gridCol w:w="39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  <w:jc w:val="center"/>
        </w:trPr>
        <w:tc>
          <w:tcPr>
            <w:tcW w:w="1937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/>
                <w:color w:val="auto"/>
                <w:sz w:val="24"/>
                <w:szCs w:val="24"/>
              </w:rPr>
              <w:t>机构名称</w:t>
            </w:r>
          </w:p>
        </w:tc>
        <w:tc>
          <w:tcPr>
            <w:tcW w:w="6321" w:type="dxa"/>
            <w:vAlign w:val="center"/>
          </w:tcPr>
          <w:p>
            <w:pPr>
              <w:spacing w:after="0" w:line="220" w:lineRule="atLeast"/>
              <w:jc w:val="both"/>
              <w:rPr>
                <w:rFonts w:ascii="Times New Roman" w:hAnsi="Times New Roman" w:cs="Times New Roman" w:eastAsiaTheme="minorEastAsia"/>
                <w:color w:val="auto"/>
                <w:szCs w:val="24"/>
              </w:rPr>
            </w:pP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  <w:t>西南财经大学特拉华数据科学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学院</w:t>
            </w:r>
          </w:p>
          <w:p>
            <w:pPr>
              <w:spacing w:after="0" w:line="220" w:lineRule="atLeast"/>
              <w:jc w:val="both"/>
              <w:rPr>
                <w:rFonts w:ascii="Times New Roman" w:hAnsi="Times New Roman" w:cs="Times New Roman" w:eastAsiaTheme="minorEastAsia"/>
                <w:color w:val="auto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（英文：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Cs w:val="24"/>
              </w:rPr>
              <w:t>SWUFE-UD Institute of Data Science at Southwestern University of Finance and Economics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）</w:t>
            </w:r>
          </w:p>
        </w:tc>
        <w:tc>
          <w:tcPr>
            <w:tcW w:w="2673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/>
                <w:color w:val="auto"/>
                <w:sz w:val="24"/>
                <w:szCs w:val="24"/>
              </w:rPr>
              <w:t>机构属性</w:t>
            </w:r>
          </w:p>
        </w:tc>
        <w:tc>
          <w:tcPr>
            <w:tcW w:w="3992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color w:val="auto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不具有法人资格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937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/>
                <w:color w:val="auto"/>
                <w:sz w:val="24"/>
                <w:szCs w:val="24"/>
              </w:rPr>
              <w:t>机构住所</w:t>
            </w:r>
          </w:p>
        </w:tc>
        <w:tc>
          <w:tcPr>
            <w:tcW w:w="6321" w:type="dxa"/>
            <w:vAlign w:val="center"/>
          </w:tcPr>
          <w:p>
            <w:pPr>
              <w:spacing w:after="0" w:line="220" w:lineRule="atLeast"/>
              <w:jc w:val="both"/>
              <w:rPr>
                <w:rFonts w:ascii="Times New Roman" w:hAnsi="Times New Roman" w:cs="Times New Roman" w:eastAsiaTheme="minorEastAsia"/>
                <w:color w:val="auto"/>
                <w:szCs w:val="24"/>
              </w:rPr>
            </w:pP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  <w:t>四川省成都市温江区柳台大道555号</w:t>
            </w:r>
          </w:p>
        </w:tc>
        <w:tc>
          <w:tcPr>
            <w:tcW w:w="2673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/>
                <w:color w:val="auto"/>
                <w:sz w:val="24"/>
                <w:szCs w:val="24"/>
              </w:rPr>
              <w:t>法定代表人</w:t>
            </w:r>
          </w:p>
        </w:tc>
        <w:tc>
          <w:tcPr>
            <w:tcW w:w="3992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color w:val="auto"/>
                <w:szCs w:val="24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Cs w:val="24"/>
              </w:rPr>
              <w:t>卓志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937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/>
                <w:color w:val="auto"/>
                <w:sz w:val="24"/>
                <w:szCs w:val="24"/>
              </w:rPr>
              <w:t>中外合作办学者</w:t>
            </w:r>
          </w:p>
        </w:tc>
        <w:tc>
          <w:tcPr>
            <w:tcW w:w="6321" w:type="dxa"/>
            <w:vAlign w:val="center"/>
          </w:tcPr>
          <w:p>
            <w:pPr>
              <w:spacing w:after="0" w:line="220" w:lineRule="atLeast"/>
              <w:jc w:val="both"/>
              <w:rPr>
                <w:rFonts w:ascii="Times New Roman" w:hAnsi="Times New Roman" w:cs="Times New Roman" w:eastAsiaTheme="minorEastAsia"/>
                <w:color w:val="auto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中方：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  <w:t>西南财经大学</w:t>
            </w:r>
          </w:p>
        </w:tc>
        <w:tc>
          <w:tcPr>
            <w:tcW w:w="2673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/>
                <w:color w:val="auto"/>
                <w:sz w:val="24"/>
                <w:szCs w:val="24"/>
              </w:rPr>
              <w:t>校长或主要行政负责人</w:t>
            </w:r>
          </w:p>
        </w:tc>
        <w:tc>
          <w:tcPr>
            <w:tcW w:w="3992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color w:val="auto"/>
                <w:szCs w:val="24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Cs w:val="24"/>
              </w:rPr>
              <w:t>杨石磊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1937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</w:p>
        </w:tc>
        <w:tc>
          <w:tcPr>
            <w:tcW w:w="6321" w:type="dxa"/>
            <w:vAlign w:val="center"/>
          </w:tcPr>
          <w:p>
            <w:pPr>
              <w:spacing w:after="0" w:line="220" w:lineRule="atLeast"/>
              <w:jc w:val="both"/>
              <w:rPr>
                <w:rFonts w:ascii="Times New Roman" w:hAnsi="Times New Roman" w:cs="Times New Roman" w:eastAsiaTheme="minorEastAsia"/>
                <w:color w:val="auto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外方：</w:t>
            </w:r>
            <w:r>
              <w:rPr>
                <w:rFonts w:ascii="Times New Roman" w:hAnsi="Times New Roman" w:cs="Times New Roman" w:eastAsiaTheme="minorEastAsia"/>
                <w:color w:val="auto"/>
                <w:szCs w:val="24"/>
              </w:rPr>
              <w:t>University of Delaware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Cs w:val="24"/>
              </w:rPr>
              <w:t>, USA</w:t>
            </w:r>
          </w:p>
          <w:p>
            <w:pPr>
              <w:spacing w:after="0" w:line="220" w:lineRule="atLeast"/>
              <w:jc w:val="both"/>
              <w:rPr>
                <w:rFonts w:ascii="Times New Roman" w:hAnsi="Times New Roman" w:cs="Times New Roman" w:eastAsiaTheme="minorEastAsia"/>
                <w:color w:val="auto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（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  <w:t>美国特拉华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大学）</w:t>
            </w:r>
          </w:p>
        </w:tc>
        <w:tc>
          <w:tcPr>
            <w:tcW w:w="2673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/>
                <w:color w:val="auto"/>
                <w:sz w:val="24"/>
                <w:szCs w:val="24"/>
              </w:rPr>
              <w:t>合作办学者是否要求取得合理回报</w:t>
            </w:r>
          </w:p>
        </w:tc>
        <w:tc>
          <w:tcPr>
            <w:tcW w:w="3992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color w:val="auto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937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/>
                <w:color w:val="auto"/>
                <w:sz w:val="24"/>
                <w:szCs w:val="24"/>
              </w:rPr>
              <w:t>办学层次和类别</w:t>
            </w:r>
          </w:p>
        </w:tc>
        <w:tc>
          <w:tcPr>
            <w:tcW w:w="6321" w:type="dxa"/>
            <w:vAlign w:val="center"/>
          </w:tcPr>
          <w:p>
            <w:pPr>
              <w:spacing w:after="0" w:line="220" w:lineRule="atLeast"/>
              <w:jc w:val="both"/>
              <w:rPr>
                <w:rFonts w:ascii="Times New Roman" w:hAnsi="Times New Roman" w:cs="Times New Roman" w:eastAsiaTheme="minorEastAsia"/>
                <w:color w:val="auto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本科学历教育</w:t>
            </w:r>
          </w:p>
        </w:tc>
        <w:tc>
          <w:tcPr>
            <w:tcW w:w="2673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  <w:t>学制</w:t>
            </w:r>
          </w:p>
        </w:tc>
        <w:tc>
          <w:tcPr>
            <w:tcW w:w="3992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color w:val="auto"/>
                <w:szCs w:val="24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Cs w:val="24"/>
              </w:rPr>
              <w:t>4年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1937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/>
                <w:color w:val="auto"/>
                <w:sz w:val="24"/>
                <w:szCs w:val="24"/>
              </w:rPr>
              <w:t>办学规模</w:t>
            </w:r>
          </w:p>
        </w:tc>
        <w:tc>
          <w:tcPr>
            <w:tcW w:w="6321" w:type="dxa"/>
            <w:vAlign w:val="center"/>
          </w:tcPr>
          <w:p>
            <w:pPr>
              <w:spacing w:after="0" w:line="220" w:lineRule="atLeast"/>
              <w:jc w:val="both"/>
              <w:rPr>
                <w:rFonts w:ascii="Times New Roman" w:hAnsi="Times New Roman" w:cs="Times New Roman" w:eastAsiaTheme="minorEastAsia"/>
                <w:color w:val="auto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办学总规模为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  <w:t>72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Cs w:val="24"/>
              </w:rPr>
              <w:t>0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人（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eastAsia="zh-CN"/>
              </w:rPr>
              <w:t>由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  <w:t>西南财经大学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eastAsia="zh-CN"/>
              </w:rPr>
              <w:t>通过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  <w:t>年度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招生计划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eastAsia="zh-CN"/>
              </w:rPr>
              <w:t>增量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安排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  <w:t>），</w:t>
            </w:r>
            <w:bookmarkStart w:id="0" w:name="_GoBack"/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每年</w:t>
            </w:r>
            <w:bookmarkEnd w:id="0"/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每专业招收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  <w:t>6</w:t>
            </w:r>
            <w:r>
              <w:rPr>
                <w:rFonts w:ascii="Times New Roman" w:hAnsi="Times New Roman" w:cs="Times New Roman" w:eastAsiaTheme="minorEastAsia"/>
                <w:color w:val="auto"/>
                <w:szCs w:val="24"/>
              </w:rPr>
              <w:t>0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人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  <w:t>。</w:t>
            </w:r>
          </w:p>
        </w:tc>
        <w:tc>
          <w:tcPr>
            <w:tcW w:w="2673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/>
                <w:color w:val="auto"/>
                <w:sz w:val="24"/>
                <w:szCs w:val="24"/>
              </w:rPr>
              <w:t>招生起止年份</w:t>
            </w:r>
          </w:p>
        </w:tc>
        <w:tc>
          <w:tcPr>
            <w:tcW w:w="3992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cs="Times New Roman" w:hAnsiTheme="minorEastAsia" w:eastAsiaTheme="minorEastAsia"/>
                <w:color w:val="auto"/>
                <w:szCs w:val="24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Cs w:val="24"/>
                <w:highlight w:val="none"/>
              </w:rPr>
              <w:t>20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Cs w:val="24"/>
                <w:highlight w:val="none"/>
              </w:rPr>
              <w:t>19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Cs w:val="24"/>
                <w:highlight w:val="none"/>
                <w:lang w:eastAsia="zh-CN"/>
              </w:rPr>
              <w:t>—</w:t>
            </w:r>
            <w:r>
              <w:rPr>
                <w:rFonts w:ascii="Times New Roman" w:hAnsi="Times New Roman" w:cs="Times New Roman" w:eastAsiaTheme="minorEastAsia"/>
                <w:color w:val="auto"/>
                <w:szCs w:val="24"/>
                <w:highlight w:val="none"/>
              </w:rPr>
              <w:t>20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Cs w:val="24"/>
                <w:highlight w:val="none"/>
              </w:rPr>
              <w:t>2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Cs w:val="24"/>
                <w:highlight w:val="none"/>
                <w:lang w:val="en-US" w:eastAsia="zh-CN"/>
              </w:rPr>
              <w:t>7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  <w:highlight w:val="none"/>
              </w:rPr>
              <w:t>年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（每年</w:t>
            </w:r>
            <w:r>
              <w:rPr>
                <w:rFonts w:ascii="Times New Roman" w:hAnsi="Times New Roman" w:cs="Times New Roman" w:eastAsiaTheme="minorEastAsia"/>
                <w:color w:val="auto"/>
                <w:szCs w:val="24"/>
              </w:rPr>
              <w:t>1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期）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937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/>
                <w:color w:val="auto"/>
                <w:sz w:val="24"/>
                <w:szCs w:val="24"/>
              </w:rPr>
              <w:t>招生方式</w:t>
            </w:r>
          </w:p>
        </w:tc>
        <w:tc>
          <w:tcPr>
            <w:tcW w:w="12986" w:type="dxa"/>
            <w:gridSpan w:val="3"/>
            <w:vAlign w:val="center"/>
          </w:tcPr>
          <w:p>
            <w:pPr>
              <w:spacing w:after="0" w:line="220" w:lineRule="atLeast"/>
              <w:jc w:val="both"/>
              <w:rPr>
                <w:rFonts w:hint="eastAsia" w:ascii="Times New Roman" w:hAnsi="Times New Roman" w:cs="Times New Roman" w:eastAsiaTheme="minorEastAsia"/>
                <w:color w:val="auto"/>
                <w:szCs w:val="24"/>
                <w:lang w:eastAsia="zh-CN"/>
              </w:rPr>
            </w:pP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  <w:t>纳入国家普通高等学校招生计划，并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按照国家普通高校招生录取政策规定执行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937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/>
                <w:color w:val="auto"/>
                <w:sz w:val="24"/>
                <w:szCs w:val="24"/>
              </w:rPr>
              <w:t>开设专业或课程</w:t>
            </w:r>
          </w:p>
        </w:tc>
        <w:tc>
          <w:tcPr>
            <w:tcW w:w="12986" w:type="dxa"/>
            <w:gridSpan w:val="3"/>
            <w:vAlign w:val="center"/>
          </w:tcPr>
          <w:p>
            <w:pPr>
              <w:spacing w:after="0" w:line="220" w:lineRule="atLeast"/>
              <w:jc w:val="both"/>
              <w:rPr>
                <w:rFonts w:hint="eastAsia" w:ascii="Times New Roman" w:hAnsi="Times New Roman" w:cs="Times New Roman" w:eastAsiaTheme="minorEastAsia"/>
                <w:color w:val="auto"/>
                <w:szCs w:val="24"/>
                <w:lang w:val="en-US" w:eastAsia="zh-CN"/>
              </w:rPr>
            </w:pP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  <w:t>信息管理与信息系统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（120102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  <w:t>H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）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  <w:t>、金融数学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（020305TH）、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  <w:t>物流管理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（120601H）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1937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/>
                <w:color w:val="auto"/>
                <w:sz w:val="24"/>
                <w:szCs w:val="24"/>
              </w:rPr>
              <w:t>颁发证书</w:t>
            </w:r>
          </w:p>
        </w:tc>
        <w:tc>
          <w:tcPr>
            <w:tcW w:w="12986" w:type="dxa"/>
            <w:gridSpan w:val="3"/>
            <w:vAlign w:val="center"/>
          </w:tcPr>
          <w:p>
            <w:pPr>
              <w:spacing w:after="0" w:line="220" w:lineRule="atLeast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中方：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  <w:t>西南财经大学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本科毕业证书、学士学位证书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  <w:jc w:val="center"/>
        </w:trPr>
        <w:tc>
          <w:tcPr>
            <w:tcW w:w="1937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</w:p>
        </w:tc>
        <w:tc>
          <w:tcPr>
            <w:tcW w:w="12986" w:type="dxa"/>
            <w:gridSpan w:val="3"/>
            <w:vAlign w:val="center"/>
          </w:tcPr>
          <w:p>
            <w:pPr>
              <w:spacing w:after="0" w:line="220" w:lineRule="atLeast"/>
              <w:jc w:val="both"/>
              <w:rPr>
                <w:rFonts w:ascii="Times New Roman" w:cs="Times New Roman" w:hAnsiTheme="minorEastAsia" w:eastAsiaTheme="minorEastAsia"/>
                <w:color w:val="auto"/>
                <w:szCs w:val="24"/>
                <w:lang w:val="en-GB"/>
              </w:rPr>
            </w:pP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外方：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val="en-GB"/>
              </w:rPr>
              <w:t xml:space="preserve"> 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Bachelor of Science in Management Information Systems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val="en-GB"/>
              </w:rPr>
              <w:t xml:space="preserve"> 管理信息系统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val="en-GB" w:eastAsia="zh-CN"/>
              </w:rPr>
              <w:t>专业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val="en-GB"/>
              </w:rPr>
              <w:t>理学学士学位证书；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 xml:space="preserve">Bachelor of Science in Finance 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  <w:t>金融学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eastAsia="zh-CN"/>
              </w:rPr>
              <w:t>专业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val="en-GB"/>
              </w:rPr>
              <w:t>理学学士学位证书；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  <w:lang w:val="en-GB"/>
              </w:rPr>
              <w:t xml:space="preserve">Bachelor of Science in Operations Management 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val="en-GB"/>
              </w:rPr>
              <w:t>运营管理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val="en-GB" w:eastAsia="zh-CN"/>
              </w:rPr>
              <w:t>专业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val="en-GB"/>
              </w:rPr>
              <w:t>理学学士学位证书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937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/>
                <w:color w:val="auto"/>
                <w:sz w:val="24"/>
                <w:szCs w:val="24"/>
              </w:rPr>
              <w:t>审批机关</w:t>
            </w:r>
          </w:p>
        </w:tc>
        <w:tc>
          <w:tcPr>
            <w:tcW w:w="12986" w:type="dxa"/>
            <w:gridSpan w:val="3"/>
            <w:vAlign w:val="center"/>
          </w:tcPr>
          <w:p>
            <w:pPr>
              <w:spacing w:after="0" w:line="220" w:lineRule="atLeast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教育部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937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/>
                <w:color w:val="auto"/>
                <w:sz w:val="24"/>
                <w:szCs w:val="24"/>
              </w:rPr>
              <w:t>许可证编号</w:t>
            </w:r>
          </w:p>
        </w:tc>
        <w:tc>
          <w:tcPr>
            <w:tcW w:w="12986" w:type="dxa"/>
            <w:gridSpan w:val="3"/>
            <w:vAlign w:val="center"/>
          </w:tcPr>
          <w:p>
            <w:pPr>
              <w:spacing w:after="0" w:line="220" w:lineRule="atLeast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szCs w:val="24"/>
              </w:rPr>
              <w:t>MOE51U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  <w:t>S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szCs w:val="24"/>
              </w:rPr>
              <w:t>A02DNR201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szCs w:val="24"/>
              </w:rPr>
              <w:t>19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  <w:t>72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szCs w:val="24"/>
              </w:rPr>
              <w:t>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937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ascii="Times New Roman" w:cs="Times New Roman" w:hAnsiTheme="minorEastAsia" w:eastAsiaTheme="minorEastAsia"/>
                <w:b/>
                <w:color w:val="auto"/>
                <w:sz w:val="24"/>
                <w:szCs w:val="24"/>
                <w:highlight w:val="none"/>
              </w:rPr>
              <w:t>许可证有效期</w:t>
            </w:r>
          </w:p>
        </w:tc>
        <w:tc>
          <w:tcPr>
            <w:tcW w:w="12986" w:type="dxa"/>
            <w:gridSpan w:val="3"/>
            <w:vAlign w:val="center"/>
          </w:tcPr>
          <w:p>
            <w:pPr>
              <w:spacing w:after="0" w:line="220" w:lineRule="atLeast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Cs w:val="24"/>
                <w:highlight w:val="none"/>
              </w:rPr>
              <w:t>203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Cs w:val="24"/>
                <w:highlight w:val="none"/>
                <w:lang w:val="en-US" w:eastAsia="zh-CN"/>
              </w:rPr>
              <w:t>1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  <w:highlight w:val="none"/>
              </w:rPr>
              <w:t>年</w:t>
            </w:r>
            <w:r>
              <w:rPr>
                <w:rFonts w:ascii="Times New Roman" w:hAnsi="Times New Roman" w:cs="Times New Roman" w:eastAsiaTheme="minorEastAsia"/>
                <w:color w:val="auto"/>
                <w:szCs w:val="24"/>
                <w:highlight w:val="none"/>
              </w:rPr>
              <w:t>12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  <w:highlight w:val="none"/>
              </w:rPr>
              <w:t>月</w:t>
            </w:r>
            <w:r>
              <w:rPr>
                <w:rFonts w:ascii="Times New Roman" w:hAnsi="Times New Roman" w:cs="Times New Roman" w:eastAsiaTheme="minorEastAsia"/>
                <w:color w:val="auto"/>
                <w:szCs w:val="24"/>
                <w:highlight w:val="none"/>
              </w:rPr>
              <w:t>31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  <w:highlight w:val="none"/>
              </w:rPr>
              <w:t>日</w:t>
            </w:r>
          </w:p>
        </w:tc>
      </w:tr>
    </w:tbl>
    <w:p>
      <w:pPr>
        <w:spacing w:line="220" w:lineRule="atLeast"/>
        <w:jc w:val="right"/>
        <w:rPr>
          <w:rFonts w:ascii="Times New Roman" w:cs="Times New Roman" w:hAnsiTheme="minorEastAsia" w:eastAsiaTheme="minorEastAsia"/>
          <w:color w:val="auto"/>
          <w:sz w:val="24"/>
          <w:szCs w:val="24"/>
        </w:rPr>
      </w:pPr>
      <w:r>
        <w:rPr>
          <w:rFonts w:ascii="Times New Roman" w:cs="Times New Roman" w:hAnsiTheme="minorEastAsia" w:eastAsiaTheme="minorEastAsia"/>
          <w:color w:val="auto"/>
          <w:sz w:val="24"/>
          <w:szCs w:val="24"/>
        </w:rPr>
        <w:t>制表时间：</w:t>
      </w:r>
      <w:r>
        <w:rPr>
          <w:rFonts w:ascii="Times New Roman" w:hAnsi="Times New Roman" w:cs="Times New Roman" w:eastAsiaTheme="minorEastAsia"/>
          <w:color w:val="auto"/>
          <w:sz w:val="24"/>
          <w:szCs w:val="24"/>
        </w:rPr>
        <w:t>201</w:t>
      </w:r>
      <w:r>
        <w:rPr>
          <w:rFonts w:hint="eastAsia" w:ascii="Times New Roman" w:hAnsi="Times New Roman" w:cs="Times New Roman" w:eastAsiaTheme="minorEastAsia"/>
          <w:color w:val="auto"/>
          <w:sz w:val="24"/>
          <w:szCs w:val="24"/>
        </w:rPr>
        <w:t>9</w:t>
      </w:r>
      <w:r>
        <w:rPr>
          <w:rFonts w:ascii="Times New Roman" w:cs="Times New Roman" w:hAnsiTheme="minorEastAsia" w:eastAsiaTheme="minorEastAsia"/>
          <w:color w:val="auto"/>
          <w:sz w:val="24"/>
          <w:szCs w:val="24"/>
        </w:rPr>
        <w:t>年</w:t>
      </w:r>
      <w:r>
        <w:rPr>
          <w:rFonts w:hint="eastAsia" w:ascii="Times New Roman" w:cs="Times New Roman" w:hAnsiTheme="minorEastAsia" w:eastAsiaTheme="minorEastAsia"/>
          <w:color w:val="auto"/>
          <w:sz w:val="24"/>
          <w:szCs w:val="24"/>
          <w:lang w:val="en-US" w:eastAsia="zh-CN"/>
        </w:rPr>
        <w:t>5</w:t>
      </w:r>
      <w:r>
        <w:rPr>
          <w:rFonts w:ascii="Times New Roman" w:cs="Times New Roman" w:hAnsiTheme="minorEastAsia" w:eastAsiaTheme="minorEastAsia"/>
          <w:color w:val="auto"/>
          <w:sz w:val="24"/>
          <w:szCs w:val="24"/>
        </w:rPr>
        <w:t>月</w:t>
      </w:r>
    </w:p>
    <w:sectPr>
      <w:pgSz w:w="16838" w:h="11906" w:orient="landscape"/>
      <w:pgMar w:top="1440" w:right="1080" w:bottom="1440" w:left="108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D31D50"/>
    <w:rsid w:val="000400A4"/>
    <w:rsid w:val="0004707D"/>
    <w:rsid w:val="0005624A"/>
    <w:rsid w:val="00057757"/>
    <w:rsid w:val="000834BC"/>
    <w:rsid w:val="000C4AD8"/>
    <w:rsid w:val="0014516C"/>
    <w:rsid w:val="00170AD3"/>
    <w:rsid w:val="00174CAF"/>
    <w:rsid w:val="00174EE6"/>
    <w:rsid w:val="001E11BF"/>
    <w:rsid w:val="00225DA0"/>
    <w:rsid w:val="002918E3"/>
    <w:rsid w:val="002F3E50"/>
    <w:rsid w:val="00323B43"/>
    <w:rsid w:val="00332F87"/>
    <w:rsid w:val="00342B1A"/>
    <w:rsid w:val="003509B7"/>
    <w:rsid w:val="00353AB1"/>
    <w:rsid w:val="003D37D8"/>
    <w:rsid w:val="003E1959"/>
    <w:rsid w:val="004224C0"/>
    <w:rsid w:val="00425C8B"/>
    <w:rsid w:val="00426133"/>
    <w:rsid w:val="004358AB"/>
    <w:rsid w:val="004D2402"/>
    <w:rsid w:val="004F426D"/>
    <w:rsid w:val="00521641"/>
    <w:rsid w:val="00522538"/>
    <w:rsid w:val="00541623"/>
    <w:rsid w:val="0056175D"/>
    <w:rsid w:val="00575AFF"/>
    <w:rsid w:val="005F1FA1"/>
    <w:rsid w:val="006835E4"/>
    <w:rsid w:val="00766BA4"/>
    <w:rsid w:val="007A5C94"/>
    <w:rsid w:val="007C79AF"/>
    <w:rsid w:val="007E12C5"/>
    <w:rsid w:val="00804C8C"/>
    <w:rsid w:val="00822231"/>
    <w:rsid w:val="0084357D"/>
    <w:rsid w:val="008B7726"/>
    <w:rsid w:val="008C34BF"/>
    <w:rsid w:val="008D4CAB"/>
    <w:rsid w:val="00955149"/>
    <w:rsid w:val="00973A37"/>
    <w:rsid w:val="00975494"/>
    <w:rsid w:val="00991D67"/>
    <w:rsid w:val="009A315C"/>
    <w:rsid w:val="009C2E3C"/>
    <w:rsid w:val="00A118B9"/>
    <w:rsid w:val="00A135DF"/>
    <w:rsid w:val="00A67F8F"/>
    <w:rsid w:val="00A9219A"/>
    <w:rsid w:val="00A95C73"/>
    <w:rsid w:val="00AC3F59"/>
    <w:rsid w:val="00AC432B"/>
    <w:rsid w:val="00B45C69"/>
    <w:rsid w:val="00B5526C"/>
    <w:rsid w:val="00B940BF"/>
    <w:rsid w:val="00BC6DDE"/>
    <w:rsid w:val="00BF0BDD"/>
    <w:rsid w:val="00C3192F"/>
    <w:rsid w:val="00CA744A"/>
    <w:rsid w:val="00CE195B"/>
    <w:rsid w:val="00CE4C71"/>
    <w:rsid w:val="00D31D50"/>
    <w:rsid w:val="00D50C69"/>
    <w:rsid w:val="00D708CE"/>
    <w:rsid w:val="00D811BB"/>
    <w:rsid w:val="00DD17C1"/>
    <w:rsid w:val="00E076F0"/>
    <w:rsid w:val="00E21F0E"/>
    <w:rsid w:val="00E944F0"/>
    <w:rsid w:val="00EB450B"/>
    <w:rsid w:val="00F8010F"/>
    <w:rsid w:val="00F91490"/>
    <w:rsid w:val="02884565"/>
    <w:rsid w:val="08826B86"/>
    <w:rsid w:val="0D2D36EB"/>
    <w:rsid w:val="0F02479D"/>
    <w:rsid w:val="1F941F30"/>
    <w:rsid w:val="2288269C"/>
    <w:rsid w:val="23075040"/>
    <w:rsid w:val="234D777D"/>
    <w:rsid w:val="280E14AB"/>
    <w:rsid w:val="3ACA7D10"/>
    <w:rsid w:val="3FEB352D"/>
    <w:rsid w:val="45B76ED1"/>
    <w:rsid w:val="48A67BCC"/>
    <w:rsid w:val="4A2A6338"/>
    <w:rsid w:val="4C3118E1"/>
    <w:rsid w:val="4DF92962"/>
    <w:rsid w:val="4F873FE5"/>
    <w:rsid w:val="50C67E74"/>
    <w:rsid w:val="512732B7"/>
    <w:rsid w:val="52355D74"/>
    <w:rsid w:val="644F1896"/>
    <w:rsid w:val="73191513"/>
    <w:rsid w:val="762B68C0"/>
    <w:rsid w:val="7944251F"/>
    <w:rsid w:val="7A0D08A7"/>
    <w:rsid w:val="7B393E67"/>
    <w:rsid w:val="7DC33DA1"/>
    <w:rsid w:val="7E9641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7">
    <w:name w:val="页眉 字符"/>
    <w:basedOn w:val="6"/>
    <w:link w:val="3"/>
    <w:qFormat/>
    <w:uiPriority w:val="99"/>
    <w:rPr>
      <w:rFonts w:ascii="Tahoma" w:hAnsi="Tahoma"/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swufe</Company>
  <Pages>1</Pages>
  <Words>104</Words>
  <Characters>597</Characters>
  <Lines>4</Lines>
  <Paragraphs>1</Paragraphs>
  <TotalTime>0</TotalTime>
  <ScaleCrop>false</ScaleCrop>
  <LinksUpToDate>false</LinksUpToDate>
  <CharactersWithSpaces>700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2018-12-10T04:14:00Z</dcterms:created>
  <dc:creator>Administrator</dc:creator>
  <cp:lastModifiedBy>Sue</cp:lastModifiedBy>
  <cp:lastPrinted>2019-05-21T00:24:00Z</cp:lastPrinted>
  <dcterms:modified xsi:type="dcterms:W3CDTF">2019-05-30T07:09:37Z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