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left"/>
        <w:rPr>
          <w:rFonts w:hint="eastAsia" w:asciiTheme="majorEastAsia" w:hAnsiTheme="majorEastAsia" w:eastAsiaTheme="majorEastAsia"/>
          <w:b/>
          <w:sz w:val="28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28"/>
          <w:highlight w:val="none"/>
          <w:lang w:val="en-US" w:eastAsia="zh-CN"/>
        </w:rPr>
        <w:t>附件</w:t>
      </w:r>
    </w:p>
    <w:p>
      <w:pPr>
        <w:spacing w:line="220" w:lineRule="atLeast"/>
        <w:jc w:val="center"/>
        <w:rPr>
          <w:rFonts w:hint="eastAsia" w:asciiTheme="majorEastAsia" w:hAnsiTheme="majorEastAsia" w:eastAsiaTheme="majorEastAsia"/>
          <w:b/>
          <w:sz w:val="28"/>
          <w:highlight w:val="none"/>
          <w:lang w:eastAsia="zh-CN"/>
        </w:rPr>
      </w:pPr>
      <w:r>
        <w:rPr>
          <w:rFonts w:hint="eastAsia" w:asciiTheme="majorEastAsia" w:hAnsiTheme="majorEastAsia" w:eastAsiaTheme="majorEastAsia"/>
          <w:b/>
          <w:sz w:val="28"/>
          <w:highlight w:val="none"/>
        </w:rPr>
        <w:t>中外合作办学机构信息表</w:t>
      </w:r>
      <w:r>
        <w:rPr>
          <w:rFonts w:hint="eastAsia" w:asciiTheme="majorEastAsia" w:hAnsiTheme="majorEastAsia" w:eastAsiaTheme="majorEastAsia"/>
          <w:b/>
          <w:sz w:val="28"/>
          <w:highlight w:val="none"/>
          <w:lang w:eastAsia="zh-CN"/>
        </w:rPr>
        <w:t>（</w:t>
      </w:r>
      <w:r>
        <w:rPr>
          <w:rFonts w:hint="eastAsia" w:asciiTheme="majorEastAsia" w:hAnsiTheme="majorEastAsia" w:eastAsiaTheme="majorEastAsia"/>
          <w:b/>
          <w:sz w:val="28"/>
          <w:highlight w:val="none"/>
          <w:lang w:val="en-US" w:eastAsia="zh-CN"/>
        </w:rPr>
        <w:t>1930N</w:t>
      </w:r>
      <w:r>
        <w:rPr>
          <w:rFonts w:hint="eastAsia" w:asciiTheme="majorEastAsia" w:hAnsiTheme="majorEastAsia" w:eastAsiaTheme="majorEastAsia"/>
          <w:b/>
          <w:sz w:val="28"/>
          <w:highlight w:val="none"/>
          <w:lang w:eastAsia="zh-CN"/>
        </w:rPr>
        <w:t>）</w:t>
      </w:r>
    </w:p>
    <w:tbl>
      <w:tblPr>
        <w:tblStyle w:val="6"/>
        <w:tblW w:w="149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369"/>
        <w:gridCol w:w="2693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  <w:highlight w:val="none"/>
              </w:rPr>
              <w:t>机构名称</w:t>
            </w: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000000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color w:val="000000"/>
                <w:szCs w:val="24"/>
                <w:highlight w:val="none"/>
                <w:lang w:eastAsia="zh-CN"/>
              </w:rPr>
              <w:t>天津音乐学院茱莉亚研究院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color w:val="000000"/>
                <w:szCs w:val="24"/>
                <w:highlight w:val="none"/>
              </w:rPr>
              <w:t>（英文：</w:t>
            </w:r>
            <w:r>
              <w:rPr>
                <w:rFonts w:hint="eastAsia" w:ascii="Times New Roman" w:hAnsi="Times New Roman" w:cs="Times New Roman" w:eastAsiaTheme="minorEastAsia"/>
                <w:color w:val="000000"/>
                <w:szCs w:val="24"/>
                <w:highlight w:val="none"/>
                <w:lang w:val="en-US" w:eastAsia="zh-CN"/>
              </w:rPr>
              <w:t>Tianjin Conservatory of Music Juilliard Graduate School</w:t>
            </w:r>
            <w:r>
              <w:rPr>
                <w:rFonts w:ascii="Times New Roman" w:cs="Times New Roman" w:hAnsiTheme="minorEastAsia" w:eastAsiaTheme="minorEastAsia"/>
                <w:color w:val="000000"/>
                <w:szCs w:val="24"/>
                <w:highlight w:val="none"/>
              </w:rPr>
              <w:t>）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  <w:highlight w:val="none"/>
              </w:rPr>
              <w:t>机构属性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szCs w:val="24"/>
                <w:highlight w:val="none"/>
              </w:rPr>
              <w:t>不具有法人资格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  <w:highlight w:val="none"/>
              </w:rPr>
              <w:t>机构住所</w:t>
            </w: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szCs w:val="24"/>
                <w:highlight w:val="none"/>
                <w:lang w:eastAsia="zh-CN"/>
              </w:rPr>
              <w:t>天津市滨海新区于家堡金融区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  <w:highlight w:val="none"/>
              </w:rPr>
              <w:t>法定代表人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Times New Roman" w:hAnsi="Times New Roman" w:cs="Times New Roman" w:eastAsiaTheme="minorEastAsia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szCs w:val="24"/>
                <w:highlight w:val="none"/>
                <w:lang w:eastAsia="zh-CN"/>
              </w:rPr>
              <w:t>徐昌俊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951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  <w:highlight w:val="none"/>
              </w:rPr>
              <w:t>中外合作办学者</w:t>
            </w: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szCs w:val="24"/>
                <w:highlight w:val="none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szCs w:val="24"/>
                <w:highlight w:val="none"/>
              </w:rPr>
              <w:t>中方：</w:t>
            </w:r>
            <w:r>
              <w:rPr>
                <w:rFonts w:hint="eastAsia" w:ascii="Times New Roman" w:cs="Times New Roman" w:hAnsiTheme="minorEastAsia" w:eastAsiaTheme="minorEastAsia"/>
                <w:szCs w:val="24"/>
                <w:highlight w:val="none"/>
                <w:lang w:eastAsia="zh-CN"/>
              </w:rPr>
              <w:t>天津音乐学院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  <w:highlight w:val="none"/>
              </w:rPr>
              <w:t>校长或主要行政负责人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Times New Roman" w:hAnsi="Times New Roman" w:cs="Times New Roman" w:eastAsiaTheme="minorEastAsia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szCs w:val="24"/>
                <w:highlight w:val="none"/>
                <w:lang w:eastAsia="zh-CN"/>
              </w:rPr>
              <w:t>徐昌俊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951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</w:pP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szCs w:val="24"/>
                <w:highlight w:val="none"/>
                <w:lang w:val="en-US" w:eastAsia="zh-CN"/>
              </w:rPr>
            </w:pPr>
            <w:r>
              <w:rPr>
                <w:rFonts w:ascii="Times New Roman" w:cs="Times New Roman" w:hAnsiTheme="minorEastAsia" w:eastAsiaTheme="minorEastAsia"/>
                <w:szCs w:val="24"/>
                <w:highlight w:val="none"/>
              </w:rPr>
              <w:t>外方：</w:t>
            </w:r>
            <w:r>
              <w:rPr>
                <w:rFonts w:hint="eastAsia" w:ascii="Times New Roman" w:hAnsi="Times New Roman" w:cs="Times New Roman" w:eastAsiaTheme="minorEastAsia"/>
                <w:color w:val="000000"/>
                <w:szCs w:val="24"/>
                <w:highlight w:val="none"/>
                <w:lang w:val="en-US" w:eastAsia="zh-CN"/>
              </w:rPr>
              <w:t>The Juilliard School, USA</w:t>
            </w:r>
          </w:p>
          <w:p>
            <w:pPr>
              <w:spacing w:after="0" w:line="220" w:lineRule="atLeast"/>
              <w:ind w:firstLine="660" w:firstLineChars="300"/>
              <w:jc w:val="both"/>
              <w:rPr>
                <w:rFonts w:ascii="Times New Roman" w:hAnsi="Times New Roman" w:cs="Times New Roman" w:eastAsiaTheme="minorEastAsia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color w:val="000000"/>
                <w:szCs w:val="24"/>
                <w:highlight w:val="none"/>
              </w:rPr>
              <w:t>（</w:t>
            </w:r>
            <w:r>
              <w:rPr>
                <w:rFonts w:hint="eastAsia" w:ascii="Times New Roman" w:cs="Times New Roman" w:hAnsiTheme="minorEastAsia" w:eastAsiaTheme="minorEastAsia"/>
                <w:color w:val="000000"/>
                <w:szCs w:val="24"/>
                <w:highlight w:val="none"/>
                <w:lang w:eastAsia="zh-CN"/>
              </w:rPr>
              <w:t>美国茱莉亚学院</w:t>
            </w:r>
            <w:r>
              <w:rPr>
                <w:rFonts w:ascii="Times New Roman" w:cs="Times New Roman" w:hAnsiTheme="minorEastAsia" w:eastAsiaTheme="minorEastAsia"/>
                <w:color w:val="000000"/>
                <w:szCs w:val="24"/>
                <w:highlight w:val="none"/>
              </w:rPr>
              <w:t>）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  <w:highlight w:val="none"/>
              </w:rPr>
              <w:t>合作办学者是否要求取得合理回报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szCs w:val="24"/>
                <w:highlight w:val="none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  <w:highlight w:val="none"/>
              </w:rPr>
              <w:t>办学层次和类别</w:t>
            </w: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Cs w:val="24"/>
                <w:highlight w:val="none"/>
              </w:rPr>
            </w:pPr>
            <w:r>
              <w:rPr>
                <w:rFonts w:hint="eastAsia" w:ascii="Times New Roman" w:cs="Times New Roman" w:hAnsiTheme="minorEastAsia" w:eastAsiaTheme="minorEastAsia"/>
                <w:szCs w:val="24"/>
                <w:highlight w:val="none"/>
                <w:lang w:eastAsia="zh-CN"/>
              </w:rPr>
              <w:t>硕士研究生学历教育；外国硕士学位教育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  <w:t>学制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 w:eastAsiaTheme="minorEastAsia"/>
                <w:szCs w:val="24"/>
                <w:highlight w:val="none"/>
              </w:rPr>
              <w:t>2年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  <w:highlight w:val="none"/>
              </w:rPr>
              <w:t>办学规模</w:t>
            </w: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szCs w:val="24"/>
                <w:highlight w:val="none"/>
                <w:lang w:eastAsia="zh-CN"/>
              </w:rPr>
              <w:t>在校生</w:t>
            </w:r>
            <w:r>
              <w:rPr>
                <w:rFonts w:hint="eastAsia" w:ascii="Times New Roman" w:hAnsi="Times New Roman" w:cs="Times New Roman" w:eastAsiaTheme="minorEastAsia"/>
                <w:szCs w:val="24"/>
                <w:highlight w:val="none"/>
                <w:lang w:val="en-US" w:eastAsia="zh-CN"/>
              </w:rPr>
              <w:t>240</w:t>
            </w:r>
            <w:r>
              <w:rPr>
                <w:rFonts w:ascii="Times New Roman" w:cs="Times New Roman" w:hAnsiTheme="minorEastAsia" w:eastAsiaTheme="minorEastAsia"/>
                <w:szCs w:val="24"/>
                <w:highlight w:val="none"/>
              </w:rPr>
              <w:t>人</w:t>
            </w:r>
            <w:r>
              <w:rPr>
                <w:rFonts w:hint="eastAsia" w:ascii="Times New Roman" w:cs="Times New Roman" w:hAnsiTheme="minorEastAsia" w:eastAsiaTheme="minorEastAsia"/>
                <w:szCs w:val="24"/>
                <w:highlight w:val="none"/>
                <w:lang w:eastAsia="zh-CN"/>
              </w:rPr>
              <w:t>。硕士研究生学历教育：每年1期，每期招生人数1</w:t>
            </w:r>
            <w:r>
              <w:rPr>
                <w:rFonts w:hint="eastAsia" w:ascii="Times New Roman" w:cs="Times New Roman" w:hAnsiTheme="minorEastAsia" w:eastAsiaTheme="minorEastAsia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cs="Times New Roman" w:hAnsiTheme="minorEastAsia" w:eastAsiaTheme="minorEastAsia"/>
                <w:szCs w:val="24"/>
                <w:highlight w:val="none"/>
                <w:lang w:eastAsia="zh-CN"/>
              </w:rPr>
              <w:t>人（在天津音乐学院年度招生规模内统筹安排）；外国硕士学位教育：每年1期，每期招生人数</w:t>
            </w:r>
            <w:r>
              <w:rPr>
                <w:rFonts w:hint="eastAsia" w:ascii="Times New Roman" w:cs="Times New Roman" w:hAnsiTheme="minorEastAsia" w:eastAsiaTheme="minorEastAsia"/>
                <w:szCs w:val="24"/>
                <w:highlight w:val="none"/>
                <w:lang w:val="en-US" w:eastAsia="zh-CN"/>
              </w:rPr>
              <w:t>110</w:t>
            </w:r>
            <w:r>
              <w:rPr>
                <w:rFonts w:hint="eastAsia" w:ascii="Times New Roman" w:cs="Times New Roman" w:hAnsiTheme="minorEastAsia" w:eastAsiaTheme="minorEastAsia"/>
                <w:szCs w:val="24"/>
                <w:highlight w:val="none"/>
                <w:lang w:eastAsia="zh-CN"/>
              </w:rPr>
              <w:t>人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  <w:highlight w:val="none"/>
              </w:rPr>
              <w:t>招生起止年份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szCs w:val="24"/>
                <w:highlight w:val="none"/>
              </w:rPr>
            </w:pPr>
            <w:r>
              <w:rPr>
                <w:rFonts w:ascii="Times New Roman" w:hAnsi="Times New Roman" w:cs="Times New Roman" w:eastAsiaTheme="minorEastAsia"/>
                <w:szCs w:val="24"/>
                <w:highlight w:val="none"/>
              </w:rPr>
              <w:t>201</w:t>
            </w:r>
            <w:r>
              <w:rPr>
                <w:rFonts w:hint="eastAsia" w:ascii="Times New Roman" w:hAnsi="Times New Roman" w:cs="Times New Roman" w:eastAsiaTheme="minorEastAsia"/>
                <w:szCs w:val="24"/>
                <w:highlight w:val="none"/>
              </w:rPr>
              <w:t>9</w:t>
            </w:r>
            <w:r>
              <w:rPr>
                <w:rFonts w:hint="eastAsia" w:ascii="Times New Roman" w:hAnsi="Times New Roman" w:cs="Times New Roman" w:eastAsiaTheme="minorEastAsia"/>
                <w:szCs w:val="24"/>
                <w:highlight w:val="none"/>
                <w:lang w:eastAsia="zh-CN"/>
              </w:rPr>
              <w:t>—</w:t>
            </w:r>
            <w:bookmarkStart w:id="0" w:name="_GoBack"/>
            <w:bookmarkEnd w:id="0"/>
            <w:r>
              <w:rPr>
                <w:rFonts w:ascii="Times New Roman" w:hAnsi="Times New Roman" w:cs="Times New Roman" w:eastAsiaTheme="minorEastAsia"/>
                <w:szCs w:val="24"/>
                <w:highlight w:val="none"/>
              </w:rPr>
              <w:t>20</w:t>
            </w:r>
            <w:r>
              <w:rPr>
                <w:rFonts w:hint="eastAsia" w:ascii="Times New Roman" w:hAnsi="Times New Roman" w:cs="Times New Roman" w:eastAsiaTheme="minorEastAsia"/>
                <w:szCs w:val="24"/>
                <w:highlight w:val="none"/>
              </w:rPr>
              <w:t>3</w:t>
            </w:r>
            <w:r>
              <w:rPr>
                <w:rFonts w:hint="eastAsia" w:ascii="Times New Roman" w:hAnsi="Times New Roman" w:cs="Times New Roman" w:eastAsiaTheme="minorEastAsia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ascii="Times New Roman" w:cs="Times New Roman" w:hAnsiTheme="minorEastAsia" w:eastAsiaTheme="minorEastAsia"/>
                <w:szCs w:val="24"/>
                <w:highlight w:val="none"/>
              </w:rPr>
              <w:t>年（每年</w:t>
            </w:r>
            <w:r>
              <w:rPr>
                <w:rFonts w:hint="eastAsia" w:ascii="Times New Roman" w:hAnsi="Times New Roman" w:cs="Times New Roman" w:eastAsiaTheme="minorEastAsia"/>
                <w:szCs w:val="24"/>
                <w:highlight w:val="none"/>
                <w:lang w:val="en-US" w:eastAsia="zh-CN"/>
              </w:rPr>
              <w:t>1期</w:t>
            </w:r>
            <w:r>
              <w:rPr>
                <w:rFonts w:ascii="Times New Roman" w:cs="Times New Roman" w:hAnsiTheme="minorEastAsia" w:eastAsiaTheme="minorEastAsia"/>
                <w:szCs w:val="24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  <w:highlight w:val="none"/>
              </w:rPr>
              <w:t>招生方式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szCs w:val="24"/>
                <w:highlight w:val="none"/>
                <w:lang w:eastAsia="zh-CN"/>
              </w:rPr>
              <w:t xml:space="preserve">硕士研究生学历教育：纳入国家硕士研究生招生计划，并按照全国统一的研究生招生政策开展招生（从天津音乐学院当年录取硕士入学新生中选拔）； </w:t>
            </w:r>
          </w:p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szCs w:val="24"/>
                <w:highlight w:val="none"/>
                <w:lang w:eastAsia="zh-CN"/>
              </w:rPr>
              <w:t>外国硕士学位教育：参加天津音乐学院茱莉亚研究院组织的招生考试（招生标准不低于茱莉亚学院同类专业在美国的标准）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  <w:highlight w:val="none"/>
              </w:rPr>
              <w:t>开设专业或课程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szCs w:val="24"/>
                <w:highlight w:val="none"/>
                <w:lang w:eastAsia="zh-CN"/>
              </w:rPr>
              <w:t>管弦乐表演、室内乐表演、钢琴艺术指导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951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  <w:highlight w:val="none"/>
              </w:rPr>
              <w:t>颁发证书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  <w:highlight w:val="none"/>
              </w:rPr>
            </w:pPr>
            <w:r>
              <w:rPr>
                <w:rFonts w:hint="eastAsia" w:ascii="Times New Roman" w:cs="Times New Roman" w:hAnsiTheme="minorEastAsia" w:eastAsiaTheme="minorEastAsia"/>
                <w:szCs w:val="24"/>
                <w:highlight w:val="none"/>
                <w:lang w:val="en-US" w:eastAsia="zh-CN"/>
              </w:rPr>
              <w:t>中方：硕士研究生学历教育：硕士研究生学历证书、硕士学位证书； 外国硕士学位教育：无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951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</w:pP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szCs w:val="24"/>
                <w:highlight w:val="none"/>
                <w:lang w:val="en-US" w:eastAsia="zh-CN"/>
              </w:rPr>
            </w:pPr>
            <w:r>
              <w:rPr>
                <w:rFonts w:ascii="Times New Roman" w:cs="Times New Roman" w:hAnsiTheme="minorEastAsia" w:eastAsiaTheme="minorEastAsia"/>
                <w:szCs w:val="24"/>
                <w:highlight w:val="none"/>
              </w:rPr>
              <w:t>外方：</w:t>
            </w:r>
            <w:r>
              <w:rPr>
                <w:rFonts w:hint="eastAsia" w:ascii="Times New Roman" w:cs="Times New Roman" w:hAnsiTheme="minorEastAsia" w:eastAsiaTheme="minorEastAsia"/>
                <w:szCs w:val="24"/>
                <w:highlight w:val="none"/>
                <w:lang w:val="en-US" w:eastAsia="zh-CN"/>
              </w:rPr>
              <w:t>Master of Music（音乐硕士学位证书）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  <w:highlight w:val="none"/>
              </w:rPr>
              <w:t>审批机关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szCs w:val="24"/>
                <w:highlight w:val="none"/>
              </w:rPr>
              <w:t>教育部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  <w:highlight w:val="none"/>
              </w:rPr>
              <w:t>许可证编号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highlight w:val="none"/>
                <w:lang w:val="en-US" w:eastAsia="zh-CN"/>
              </w:rPr>
              <w:t xml:space="preserve">MOE12US01A20181930N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highlight w:val="none"/>
              </w:rPr>
            </w:pPr>
            <w:r>
              <w:rPr>
                <w:rFonts w:ascii="Times New Roman" w:cs="Times New Roman" w:hAnsiTheme="minorEastAsia" w:eastAsiaTheme="minorEastAsia"/>
                <w:b/>
                <w:sz w:val="24"/>
                <w:szCs w:val="24"/>
                <w:highlight w:val="none"/>
              </w:rPr>
              <w:t>许可证有效期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 w:eastAsiaTheme="minorEastAsia"/>
                <w:szCs w:val="24"/>
                <w:highlight w:val="none"/>
                <w:lang w:val="en-US" w:eastAsia="zh-CN"/>
              </w:rPr>
              <w:t>2038</w:t>
            </w:r>
            <w:r>
              <w:rPr>
                <w:rFonts w:ascii="Times New Roman" w:cs="Times New Roman" w:hAnsiTheme="minorEastAsia" w:eastAsiaTheme="minorEastAsia"/>
                <w:szCs w:val="24"/>
                <w:highlight w:val="none"/>
              </w:rPr>
              <w:t>年</w:t>
            </w:r>
            <w:r>
              <w:rPr>
                <w:rFonts w:hint="eastAsia" w:ascii="Times New Roman" w:hAnsi="Times New Roman" w:cs="Times New Roman" w:eastAsiaTheme="minorEastAsia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ascii="Times New Roman" w:cs="Times New Roman" w:hAnsiTheme="minorEastAsia" w:eastAsiaTheme="minorEastAsia"/>
                <w:szCs w:val="24"/>
                <w:highlight w:val="none"/>
              </w:rPr>
              <w:t>月</w:t>
            </w:r>
            <w:r>
              <w:rPr>
                <w:rFonts w:hint="eastAsia" w:ascii="Times New Roman" w:cs="Times New Roman" w:hAnsiTheme="minorEastAsia" w:eastAsiaTheme="minorEastAsia"/>
                <w:szCs w:val="24"/>
                <w:highlight w:val="none"/>
                <w:lang w:val="en-US" w:eastAsia="zh-CN"/>
              </w:rPr>
              <w:t>31</w:t>
            </w:r>
            <w:r>
              <w:rPr>
                <w:rFonts w:ascii="Times New Roman" w:cs="Times New Roman" w:hAnsiTheme="minorEastAsia" w:eastAsiaTheme="minorEastAsia"/>
                <w:szCs w:val="24"/>
                <w:highlight w:val="none"/>
              </w:rPr>
              <w:t>日</w:t>
            </w:r>
          </w:p>
        </w:tc>
      </w:tr>
    </w:tbl>
    <w:p>
      <w:pPr>
        <w:spacing w:line="220" w:lineRule="atLeast"/>
        <w:jc w:val="right"/>
        <w:rPr>
          <w:rFonts w:ascii="Times New Roman" w:hAnsi="Times New Roman" w:cs="Times New Roman" w:eastAsiaTheme="minorEastAsia"/>
          <w:sz w:val="24"/>
          <w:szCs w:val="24"/>
        </w:rPr>
      </w:pPr>
      <w:r>
        <w:rPr>
          <w:rFonts w:ascii="Times New Roman" w:cs="Times New Roman" w:hAnsiTheme="minorEastAsia" w:eastAsiaTheme="minorEastAsia"/>
          <w:sz w:val="24"/>
          <w:szCs w:val="24"/>
        </w:rPr>
        <w:t>制表时间：</w:t>
      </w:r>
      <w:r>
        <w:rPr>
          <w:rFonts w:ascii="Times New Roman" w:hAnsi="Times New Roman" w:cs="Times New Roman" w:eastAsiaTheme="minorEastAsia"/>
          <w:sz w:val="24"/>
          <w:szCs w:val="24"/>
        </w:rPr>
        <w:t>2018</w:t>
      </w:r>
      <w:r>
        <w:rPr>
          <w:rFonts w:ascii="Times New Roman" w:cs="Times New Roman" w:hAnsiTheme="minorEastAsia" w:eastAsiaTheme="minorEastAsia"/>
          <w:sz w:val="24"/>
          <w:szCs w:val="24"/>
        </w:rPr>
        <w:t>年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11</w:t>
      </w:r>
      <w:r>
        <w:rPr>
          <w:rFonts w:ascii="Times New Roman" w:cs="Times New Roman" w:hAnsiTheme="minorEastAsia" w:eastAsiaTheme="minorEastAsia"/>
          <w:sz w:val="24"/>
          <w:szCs w:val="24"/>
        </w:rPr>
        <w:t>月</w:t>
      </w:r>
    </w:p>
    <w:sectPr>
      <w:pgSz w:w="16838" w:h="11906" w:orient="landscape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doNotDisplayPageBoundaries w:val="1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B736A8"/>
    <w:rsid w:val="0D401318"/>
    <w:rsid w:val="0F92210A"/>
    <w:rsid w:val="11AA03B4"/>
    <w:rsid w:val="15A17A65"/>
    <w:rsid w:val="188C4B23"/>
    <w:rsid w:val="227C75E8"/>
    <w:rsid w:val="2A0E4EA3"/>
    <w:rsid w:val="307F1D94"/>
    <w:rsid w:val="33990C73"/>
    <w:rsid w:val="364C62A6"/>
    <w:rsid w:val="388A281C"/>
    <w:rsid w:val="40924F8E"/>
    <w:rsid w:val="4B2E6254"/>
    <w:rsid w:val="50C82E59"/>
    <w:rsid w:val="597C332C"/>
    <w:rsid w:val="622F10A2"/>
    <w:rsid w:val="7FFD16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252</Words>
  <Characters>1438</Characters>
  <Lines>11</Lines>
  <Paragraphs>3</Paragraphs>
  <TotalTime>358</TotalTime>
  <ScaleCrop>false</ScaleCrop>
  <LinksUpToDate>false</LinksUpToDate>
  <CharactersWithSpaces>1687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2008-09-12T01:20:00Z</dcterms:created>
  <dc:creator>Administrator</dc:creator>
  <cp:lastModifiedBy>Sue</cp:lastModifiedBy>
  <cp:lastPrinted>2018-10-24T09:01:00Z</cp:lastPrinted>
  <dcterms:modified xsi:type="dcterms:W3CDTF">2018-11-22T06:10:19Z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