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BD6470" w:rsidRDefault="000A380E">
      <w:pPr>
        <w:jc w:val="center"/>
        <w:rPr>
          <w:rFonts w:asciiTheme="minorEastAsia" w:hAnsiTheme="minorEastAsia" w:cstheme="minorEastAsia"/>
          <w:sz w:val="44"/>
          <w:szCs w:val="44"/>
        </w:rPr>
      </w:pPr>
      <w:r>
        <w:rPr>
          <w:noProof/>
          <w:sz w:val="44"/>
        </w:rPr>
        <mc:AlternateContent>
          <mc:Choice Requires="wps">
            <w:drawing>
              <wp:anchor distT="0" distB="0" distL="114300" distR="114300" simplePos="0" relativeHeight="251659264" behindDoc="0" locked="0" layoutInCell="1" allowOverlap="1">
                <wp:simplePos x="0" y="0"/>
                <wp:positionH relativeFrom="column">
                  <wp:posOffset>-422275</wp:posOffset>
                </wp:positionH>
                <wp:positionV relativeFrom="paragraph">
                  <wp:posOffset>-1139825</wp:posOffset>
                </wp:positionV>
                <wp:extent cx="1161415" cy="493395"/>
                <wp:effectExtent l="0" t="0" r="635" b="1905"/>
                <wp:wrapNone/>
                <wp:docPr id="1" name="文本框 1"/>
                <wp:cNvGraphicFramePr/>
                <a:graphic xmlns:a="http://schemas.openxmlformats.org/drawingml/2006/main">
                  <a:graphicData uri="http://schemas.microsoft.com/office/word/2010/wordprocessingShape">
                    <wps:wsp>
                      <wps:cNvSpPr txBox="1"/>
                      <wps:spPr>
                        <a:xfrm>
                          <a:off x="117475" y="97155"/>
                          <a:ext cx="1161415" cy="493395"/>
                        </a:xfrm>
                        <a:prstGeom prst="rect">
                          <a:avLst/>
                        </a:prstGeom>
                        <a:solidFill>
                          <a:schemeClr val="lt1"/>
                        </a:solidFill>
                        <a:ln w="12700">
                          <a:noFill/>
                        </a:ln>
                      </wps:spPr>
                      <wps:style>
                        <a:lnRef idx="0">
                          <a:schemeClr val="accent1"/>
                        </a:lnRef>
                        <a:fillRef idx="0">
                          <a:schemeClr val="accent1"/>
                        </a:fillRef>
                        <a:effectRef idx="0">
                          <a:schemeClr val="accent1"/>
                        </a:effectRef>
                        <a:fontRef idx="minor">
                          <a:schemeClr val="dk1"/>
                        </a:fontRef>
                      </wps:style>
                      <wps:txbx>
                        <w:txbxContent>
                          <w:p w:rsidR="00BD6470" w:rsidRDefault="00BD6470">
                            <w:pPr>
                              <w:jc w:val="center"/>
                              <w:rPr>
                                <w:rFonts w:ascii="方正小标宋简体" w:eastAsia="方正小标宋简体" w:hAnsi="方正小标宋简体" w:cs="方正小标宋简体"/>
                                <w:color w:val="000000" w:themeColor="text1"/>
                                <w:sz w:val="28"/>
                                <w:szCs w:val="28"/>
                                <w14:textOutline w14:w="0" w14:cap="flat" w14:cmpd="dbl" w14:algn="ctr">
                                  <w14:solidFill>
                                    <w14:schemeClr w14:val="tx1"/>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33.25pt;margin-top:-89.75pt;height:38.85pt;width:91.45pt;z-index:251659264;mso-width-relative:page;mso-height-relative:page;" fillcolor="#FFFFFF [3201]" filled="t" stroked="f" coordsize="21600,21600" o:gfxdata="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Jzp+FLa&#10;AAAADQEAAA8AAAAAAAAAAQAgAAAAIgAAAGRycy9kb3ducmV2LnhtbFBLAQIUABQAAAAIAIdO4kBM&#10;SLuEVwIAAJkEAAAOAAAAAAAAAAEAIAAAACkBAABkcnMvZTJvRG9jLnhtbFBLBQYAAAAABgAGAFkB&#10;AADyBQAAAAA=&#10;">
                <v:fill on="t" focussize="0,0"/>
                <v:stroke on="f" weight="1pt"/>
                <v:imagedata o:title=""/>
                <o:lock v:ext="edit" aspectratio="f"/>
                <v:textbox>
                  <w:txbxContent>
                    <w:p>
                      <w:pPr>
                        <w:jc w:val="center"/>
                        <w:rPr>
                          <w:rFonts w:ascii="方正小标宋简体" w:hAnsi="方正小标宋简体" w:eastAsia="方正小标宋简体" w:cs="方正小标宋简体"/>
                          <w:color w:val="000000" w:themeColor="text1"/>
                          <w:sz w:val="28"/>
                          <w:szCs w:val="28"/>
                          <w14:textOutline w14:w="0" w14:cap="flat" w14:cmpd="dbl" w14:algn="ctr">
                            <w14:solidFill>
                              <w14:schemeClr w14:val="tx1"/>
                            </w14:solidFill>
                            <w14:prstDash w14:val="solid"/>
                            <w14:round/>
                          </w14:textOutline>
                          <w14:textFill>
                            <w14:solidFill>
                              <w14:schemeClr w14:val="tx1"/>
                            </w14:solidFill>
                          </w14:textFill>
                        </w:rPr>
                      </w:pPr>
                    </w:p>
                  </w:txbxContent>
                </v:textbox>
              </v:shape>
            </w:pict>
          </mc:Fallback>
        </mc:AlternateContent>
      </w:r>
    </w:p>
    <w:p w:rsidR="00BD6470" w:rsidRDefault="00BD6470">
      <w:pPr>
        <w:rPr>
          <w:rFonts w:asciiTheme="minorEastAsia" w:hAnsiTheme="minorEastAsia" w:cstheme="minorEastAsia"/>
          <w:sz w:val="44"/>
          <w:szCs w:val="44"/>
        </w:rPr>
      </w:pPr>
    </w:p>
    <w:p w:rsidR="00BD6470" w:rsidRDefault="000A380E">
      <w:pPr>
        <w:jc w:val="center"/>
        <w:rPr>
          <w:rFonts w:ascii="宋体" w:eastAsia="宋体" w:hAnsi="宋体" w:cs="宋体"/>
          <w:sz w:val="36"/>
          <w:szCs w:val="36"/>
          <w:shd w:val="clear" w:color="auto" w:fill="FFFFFF"/>
        </w:rPr>
      </w:pPr>
      <w:r>
        <w:rPr>
          <w:rFonts w:asciiTheme="minorEastAsia" w:hAnsiTheme="minorEastAsia" w:cstheme="minorEastAsia" w:hint="eastAsia"/>
          <w:sz w:val="44"/>
          <w:szCs w:val="44"/>
        </w:rPr>
        <w:t>中小学法治副校长聘任与管理办法</w:t>
      </w:r>
    </w:p>
    <w:p w:rsidR="00BD6470" w:rsidRDefault="000A380E">
      <w:pPr>
        <w:ind w:firstLineChars="200" w:firstLine="640"/>
        <w:rPr>
          <w:rFonts w:ascii="楷体_GB2312" w:eastAsia="楷体_GB2312" w:hAnsi="楷体_GB2312" w:cs="楷体_GB2312"/>
          <w:color w:val="333333"/>
          <w:sz w:val="32"/>
          <w:szCs w:val="32"/>
          <w:shd w:val="clear" w:color="auto" w:fill="FFFFFF"/>
        </w:rPr>
      </w:pPr>
      <w:r>
        <w:rPr>
          <w:rFonts w:ascii="楷体_GB2312" w:eastAsia="楷体_GB2312" w:hAnsi="楷体_GB2312" w:cs="楷体_GB2312" w:hint="eastAsia"/>
          <w:color w:val="333333"/>
          <w:sz w:val="32"/>
          <w:szCs w:val="32"/>
          <w:shd w:val="clear" w:color="auto" w:fill="FFFFFF"/>
        </w:rPr>
        <w:t>(2021</w:t>
      </w:r>
      <w:r>
        <w:rPr>
          <w:rFonts w:ascii="楷体_GB2312" w:eastAsia="楷体_GB2312" w:hAnsi="楷体_GB2312" w:cs="楷体_GB2312" w:hint="eastAsia"/>
          <w:color w:val="333333"/>
          <w:sz w:val="32"/>
          <w:szCs w:val="32"/>
          <w:shd w:val="clear" w:color="auto" w:fill="FFFFFF"/>
        </w:rPr>
        <w:t>年</w:t>
      </w:r>
      <w:r>
        <w:rPr>
          <w:rFonts w:ascii="楷体_GB2312" w:eastAsia="楷体_GB2312" w:hAnsi="楷体_GB2312" w:cs="楷体_GB2312" w:hint="eastAsia"/>
          <w:color w:val="333333"/>
          <w:sz w:val="32"/>
          <w:szCs w:val="32"/>
          <w:shd w:val="clear" w:color="auto" w:fill="FFFFFF"/>
        </w:rPr>
        <w:t>12</w:t>
      </w:r>
      <w:r>
        <w:rPr>
          <w:rFonts w:ascii="楷体_GB2312" w:eastAsia="楷体_GB2312" w:hAnsi="楷体_GB2312" w:cs="楷体_GB2312" w:hint="eastAsia"/>
          <w:color w:val="333333"/>
          <w:sz w:val="32"/>
          <w:szCs w:val="32"/>
          <w:shd w:val="clear" w:color="auto" w:fill="FFFFFF"/>
        </w:rPr>
        <w:t>月</w:t>
      </w:r>
      <w:r>
        <w:rPr>
          <w:rFonts w:ascii="楷体_GB2312" w:eastAsia="楷体_GB2312" w:hAnsi="楷体_GB2312" w:cs="楷体_GB2312" w:hint="eastAsia"/>
          <w:color w:val="333333"/>
          <w:sz w:val="32"/>
          <w:szCs w:val="32"/>
          <w:shd w:val="clear" w:color="auto" w:fill="FFFFFF"/>
        </w:rPr>
        <w:t>27</w:t>
      </w:r>
      <w:r>
        <w:rPr>
          <w:rFonts w:ascii="楷体_GB2312" w:eastAsia="楷体_GB2312" w:hAnsi="楷体_GB2312" w:cs="楷体_GB2312" w:hint="eastAsia"/>
          <w:color w:val="333333"/>
          <w:sz w:val="32"/>
          <w:szCs w:val="32"/>
          <w:shd w:val="clear" w:color="auto" w:fill="FFFFFF"/>
        </w:rPr>
        <w:t>日中华人民共和国教育部令第</w:t>
      </w:r>
      <w:r>
        <w:rPr>
          <w:rFonts w:ascii="楷体_GB2312" w:eastAsia="楷体_GB2312" w:hAnsi="楷体_GB2312" w:cs="楷体_GB2312" w:hint="eastAsia"/>
          <w:color w:val="333333"/>
          <w:sz w:val="32"/>
          <w:szCs w:val="32"/>
          <w:shd w:val="clear" w:color="auto" w:fill="FFFFFF"/>
        </w:rPr>
        <w:t>52</w:t>
      </w:r>
      <w:r>
        <w:rPr>
          <w:rFonts w:ascii="楷体_GB2312" w:eastAsia="楷体_GB2312" w:hAnsi="楷体_GB2312" w:cs="楷体_GB2312" w:hint="eastAsia"/>
          <w:color w:val="333333"/>
          <w:sz w:val="32"/>
          <w:szCs w:val="32"/>
          <w:shd w:val="clear" w:color="auto" w:fill="FFFFFF"/>
        </w:rPr>
        <w:t>号公布　自</w:t>
      </w:r>
      <w:r>
        <w:rPr>
          <w:rFonts w:ascii="楷体_GB2312" w:eastAsia="楷体_GB2312" w:hAnsi="楷体_GB2312" w:cs="楷体_GB2312" w:hint="eastAsia"/>
          <w:color w:val="333333"/>
          <w:sz w:val="32"/>
          <w:szCs w:val="32"/>
          <w:shd w:val="clear" w:color="auto" w:fill="FFFFFF"/>
        </w:rPr>
        <w:t>2022</w:t>
      </w:r>
      <w:r>
        <w:rPr>
          <w:rFonts w:ascii="楷体_GB2312" w:eastAsia="楷体_GB2312" w:hAnsi="楷体_GB2312" w:cs="楷体_GB2312" w:hint="eastAsia"/>
          <w:color w:val="333333"/>
          <w:sz w:val="32"/>
          <w:szCs w:val="32"/>
          <w:shd w:val="clear" w:color="auto" w:fill="FFFFFF"/>
        </w:rPr>
        <w:t>年</w:t>
      </w:r>
      <w:r>
        <w:rPr>
          <w:rFonts w:ascii="楷体_GB2312" w:eastAsia="楷体_GB2312" w:hAnsi="楷体_GB2312" w:cs="楷体_GB2312" w:hint="eastAsia"/>
          <w:color w:val="333333"/>
          <w:sz w:val="32"/>
          <w:szCs w:val="32"/>
          <w:shd w:val="clear" w:color="auto" w:fill="FFFFFF"/>
        </w:rPr>
        <w:t>5</w:t>
      </w:r>
      <w:r>
        <w:rPr>
          <w:rFonts w:ascii="楷体_GB2312" w:eastAsia="楷体_GB2312" w:hAnsi="楷体_GB2312" w:cs="楷体_GB2312" w:hint="eastAsia"/>
          <w:color w:val="333333"/>
          <w:sz w:val="32"/>
          <w:szCs w:val="32"/>
          <w:shd w:val="clear" w:color="auto" w:fill="FFFFFF"/>
        </w:rPr>
        <w:t>月</w:t>
      </w:r>
      <w:r>
        <w:rPr>
          <w:rFonts w:ascii="楷体_GB2312" w:eastAsia="楷体_GB2312" w:hAnsi="楷体_GB2312" w:cs="楷体_GB2312" w:hint="eastAsia"/>
          <w:color w:val="333333"/>
          <w:sz w:val="32"/>
          <w:szCs w:val="32"/>
          <w:shd w:val="clear" w:color="auto" w:fill="FFFFFF"/>
        </w:rPr>
        <w:t>1</w:t>
      </w:r>
      <w:r>
        <w:rPr>
          <w:rFonts w:ascii="楷体_GB2312" w:eastAsia="楷体_GB2312" w:hAnsi="楷体_GB2312" w:cs="楷体_GB2312" w:hint="eastAsia"/>
          <w:color w:val="333333"/>
          <w:sz w:val="32"/>
          <w:szCs w:val="32"/>
          <w:shd w:val="clear" w:color="auto" w:fill="FFFFFF"/>
        </w:rPr>
        <w:t>日起施行</w:t>
      </w:r>
      <w:r>
        <w:rPr>
          <w:rFonts w:ascii="楷体_GB2312" w:eastAsia="楷体_GB2312" w:hAnsi="楷体_GB2312" w:cs="楷体_GB2312" w:hint="eastAsia"/>
          <w:color w:val="333333"/>
          <w:sz w:val="32"/>
          <w:szCs w:val="32"/>
          <w:shd w:val="clear" w:color="auto" w:fill="FFFFFF"/>
        </w:rPr>
        <w:t>)</w:t>
      </w:r>
    </w:p>
    <w:p w:rsidR="00BD6470" w:rsidRDefault="00BD6470">
      <w:pPr>
        <w:rPr>
          <w:rFonts w:ascii="仿宋_GB2312" w:eastAsia="仿宋_GB2312" w:hAnsi="仿宋_GB2312" w:cs="仿宋_GB2312"/>
          <w:color w:val="333333"/>
          <w:sz w:val="32"/>
          <w:szCs w:val="32"/>
          <w:shd w:val="clear" w:color="auto" w:fill="FFFFFF"/>
        </w:rPr>
      </w:pP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第一条</w:t>
      </w:r>
      <w:r>
        <w:rPr>
          <w:rFonts w:ascii="仿宋_GB2312" w:eastAsia="仿宋_GB2312" w:hAnsi="仿宋_GB2312" w:cs="仿宋_GB2312" w:hint="eastAsia"/>
          <w:color w:val="333333"/>
          <w:sz w:val="32"/>
          <w:szCs w:val="32"/>
          <w:shd w:val="clear" w:color="auto" w:fill="FFFFFF"/>
        </w:rPr>
        <w:t xml:space="preserve">　为了完善中小学治理体系，健全学生权益保护机制，进一步规范中小学法治副校长聘任与管理，促进未成年人健康成长，根据教育法、未成年人保护法、预防未成年人犯罪法等法律法规，制定本办法。</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第二条</w:t>
      </w:r>
      <w:r>
        <w:rPr>
          <w:rFonts w:ascii="仿宋_GB2312" w:eastAsia="仿宋_GB2312" w:hAnsi="仿宋_GB2312" w:cs="仿宋_GB2312" w:hint="eastAsia"/>
          <w:color w:val="333333"/>
          <w:sz w:val="32"/>
          <w:szCs w:val="32"/>
          <w:shd w:val="clear" w:color="auto" w:fill="FFFFFF"/>
        </w:rPr>
        <w:t xml:space="preserve">　普通中小学、中等职业学校、特</w:t>
      </w:r>
      <w:r>
        <w:rPr>
          <w:rFonts w:ascii="仿宋_GB2312" w:eastAsia="仿宋_GB2312" w:hAnsi="仿宋_GB2312" w:cs="仿宋_GB2312" w:hint="eastAsia"/>
          <w:color w:val="333333"/>
          <w:sz w:val="32"/>
          <w:szCs w:val="32"/>
          <w:shd w:val="clear" w:color="auto" w:fill="FFFFFF"/>
        </w:rPr>
        <w:t>殊教育学校、专门学校（以下统称学校）法治副校长的聘任与管理，适用本办法。</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第三条</w:t>
      </w:r>
      <w:r>
        <w:rPr>
          <w:rFonts w:ascii="仿宋_GB2312" w:eastAsia="仿宋_GB2312" w:hAnsi="仿宋_GB2312" w:cs="仿宋_GB2312" w:hint="eastAsia"/>
          <w:color w:val="333333"/>
          <w:sz w:val="32"/>
          <w:szCs w:val="32"/>
          <w:shd w:val="clear" w:color="auto" w:fill="FFFFFF"/>
        </w:rPr>
        <w:t xml:space="preserve">　本办法所称法治副校长，是指由人民法院、人民检察院、公安机关、司法行政部门推荐或者委派，经教育行政部门或者学校聘任，在学校兼任副校长职务，协助开展法治教育、学生保护、安全管理、预防犯罪、依法治理等工作的人员。</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第四条</w:t>
      </w:r>
      <w:r>
        <w:rPr>
          <w:rFonts w:ascii="仿宋_GB2312" w:eastAsia="仿宋_GB2312" w:hAnsi="仿宋_GB2312" w:cs="仿宋_GB2312" w:hint="eastAsia"/>
          <w:color w:val="333333"/>
          <w:sz w:val="32"/>
          <w:szCs w:val="32"/>
          <w:shd w:val="clear" w:color="auto" w:fill="FFFFFF"/>
        </w:rPr>
        <w:t xml:space="preserve">　国务院教育行政部门会同最高人民法院、最高人民检察院、公安部、司法部制定学校法治副校长聘任与管理的宏观政策，统筹指导地方开展法治副校长的推荐、聘任、培训、考核、</w:t>
      </w:r>
      <w:r>
        <w:rPr>
          <w:rFonts w:ascii="仿宋_GB2312" w:eastAsia="仿宋_GB2312" w:hAnsi="仿宋_GB2312" w:cs="仿宋_GB2312" w:hint="eastAsia"/>
          <w:color w:val="333333"/>
          <w:sz w:val="32"/>
          <w:szCs w:val="32"/>
          <w:shd w:val="clear" w:color="auto" w:fill="FFFFFF"/>
        </w:rPr>
        <w:lastRenderedPageBreak/>
        <w:t>评价、奖励等工作。</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县级以上地方人民政府教育行政部门会同人民法院、人民检察院、公安机关、司法行政部门负责本地区学校法治副校长聘任与管理工作。</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有条件的地方，可以建立由教育行政部门、人民法院、人民检察院、公安机关、司法行政部门参加的学校法治副校长工作联席会议制度，统筹推进本地区学校法治副校长聘任与管理工作。</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黑体" w:hint="eastAsia"/>
          <w:color w:val="333333"/>
          <w:sz w:val="32"/>
          <w:szCs w:val="32"/>
          <w:shd w:val="clear" w:color="auto" w:fill="FFFFFF"/>
        </w:rPr>
        <w:t>第五条</w:t>
      </w:r>
      <w:r>
        <w:rPr>
          <w:rFonts w:ascii="仿宋_GB2312" w:eastAsia="仿宋_GB2312" w:hAnsi="仿宋_GB2312" w:cs="仿宋_GB2312" w:hint="eastAsia"/>
          <w:color w:val="333333"/>
          <w:sz w:val="32"/>
          <w:szCs w:val="32"/>
          <w:shd w:val="clear" w:color="auto" w:fill="FFFFFF"/>
        </w:rPr>
        <w:t xml:space="preserve">　法治副校长履职期间协助开展以下工作：</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（一）开展法治教育。推动习近平法治思想的学习宣传，参与制订学校法治教育工作计划，协助学校创新法治教育内容和形式，每年在任职学校承担或者组织落实不少于</w:t>
      </w:r>
      <w:r>
        <w:rPr>
          <w:rFonts w:ascii="仿宋_GB2312" w:eastAsia="仿宋_GB2312" w:hAnsi="仿宋_GB2312" w:cs="仿宋_GB2312" w:hint="eastAsia"/>
          <w:color w:val="333333"/>
          <w:sz w:val="32"/>
          <w:szCs w:val="32"/>
          <w:shd w:val="clear" w:color="auto" w:fill="FFFFFF"/>
        </w:rPr>
        <w:t>4</w:t>
      </w:r>
      <w:r>
        <w:rPr>
          <w:rFonts w:ascii="仿宋_GB2312" w:eastAsia="仿宋_GB2312" w:hAnsi="仿宋_GB2312" w:cs="仿宋_GB2312" w:hint="eastAsia"/>
          <w:color w:val="333333"/>
          <w:sz w:val="32"/>
          <w:szCs w:val="32"/>
          <w:shd w:val="clear" w:color="auto" w:fill="FFFFFF"/>
        </w:rPr>
        <w:t>课时的、以法治实践教育为主的</w:t>
      </w:r>
      <w:r>
        <w:rPr>
          <w:rFonts w:ascii="仿宋_GB2312" w:eastAsia="仿宋_GB2312" w:hAnsi="仿宋_GB2312" w:cs="仿宋_GB2312" w:hint="eastAsia"/>
          <w:color w:val="333333"/>
          <w:sz w:val="32"/>
          <w:szCs w:val="32"/>
          <w:shd w:val="clear" w:color="auto" w:fill="FFFFFF"/>
        </w:rPr>
        <w:t>法治教育任务，提高法治教育的针对性和实效性。面向教职工开展法治宣传，指导、帮助道德与法治等课程教师开展法治教育。</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（二）保护学生权益。参与学校学生权益保护制度的制定、执行，参加学生保护委员会、学生欺凌治理等组织，指导、监督学校落实未成年人保护职责，依法保护学生权益。</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（三）预防未成年人犯罪。指导学校对未成年学生进行有针对性的预防犯罪教育，对有不良行为的学生加强管理和教育。</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（四）参与安全管理。指导学校完善安全管理制度，协调推动建立学校安全区域制度，协助学校健全安全事故预防与处置机制，主持或者参与学校安全事故</w:t>
      </w:r>
      <w:r>
        <w:rPr>
          <w:rFonts w:ascii="仿宋_GB2312" w:eastAsia="仿宋_GB2312" w:hAnsi="仿宋_GB2312" w:cs="仿宋_GB2312" w:hint="eastAsia"/>
          <w:color w:val="333333"/>
          <w:sz w:val="32"/>
          <w:szCs w:val="32"/>
          <w:shd w:val="clear" w:color="auto" w:fill="FFFFFF"/>
        </w:rPr>
        <w:t>的调解协商，指导学校依法处理安全事故纠纷，制止侵害学校和师生合法权益的行为。</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实施或者指导实施教育惩戒。协助学校、公安机关、司法行政部门按照法律和相关规定对有不良行为、严重不良行为的学生予以训诫或者矫治教育。根据学校实际和需要，参与建立学生教育保护辅导工作机制，对有需要的学生进行专门的辅导、矫治。</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六）指导依法治理。协助学校建立健全校规校纪、完善各类规章制度，参与校规校纪的审核，协助处理学校涉法涉诉案件，进入申诉委员会，参与处理师生申诉，协助加强与社区、家庭及社会有关方面的沟通联系。</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（七）指导、协</w:t>
      </w:r>
      <w:r>
        <w:rPr>
          <w:rFonts w:ascii="仿宋_GB2312" w:eastAsia="仿宋_GB2312" w:hAnsi="仿宋_GB2312" w:cs="仿宋_GB2312" w:hint="eastAsia"/>
          <w:color w:val="333333"/>
          <w:sz w:val="32"/>
          <w:szCs w:val="32"/>
          <w:shd w:val="clear" w:color="auto" w:fill="FFFFFF"/>
        </w:rPr>
        <w:t>助学校履行法律法规规章规定的其他职责。</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黑体" w:hint="eastAsia"/>
          <w:color w:val="333333"/>
          <w:sz w:val="32"/>
          <w:szCs w:val="32"/>
          <w:shd w:val="clear" w:color="auto" w:fill="FFFFFF"/>
        </w:rPr>
        <w:t>第六条</w:t>
      </w:r>
      <w:r>
        <w:rPr>
          <w:rFonts w:ascii="仿宋_GB2312" w:eastAsia="仿宋_GB2312" w:hAnsi="仿宋_GB2312" w:cs="仿宋_GB2312" w:hint="eastAsia"/>
          <w:color w:val="333333"/>
          <w:sz w:val="32"/>
          <w:szCs w:val="32"/>
          <w:shd w:val="clear" w:color="auto" w:fill="FFFFFF"/>
        </w:rPr>
        <w:t xml:space="preserve">　人民法院、人民检察院、公安机关和司法行政部门（以下称派出机关）应当遴选、推荐符合以下条件的在职工作人员担任法治副校长：</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（一）政治素质好，品德优秀，作风正派，责任心强；</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（二）有较丰富的法律专业知识与法治实践经历，从事法治</w:t>
      </w:r>
      <w:r>
        <w:rPr>
          <w:rFonts w:ascii="仿宋_GB2312" w:eastAsia="仿宋_GB2312" w:hAnsi="仿宋_GB2312" w:cs="仿宋_GB2312" w:hint="eastAsia"/>
          <w:color w:val="333333"/>
          <w:sz w:val="32"/>
          <w:szCs w:val="32"/>
          <w:shd w:val="clear" w:color="auto" w:fill="FFFFFF"/>
        </w:rPr>
        <w:lastRenderedPageBreak/>
        <w:t>工作三年以上；</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（三）身心健康，热心教育工作，了解教育教学规律和学生的身心特点，关心学生健康成长；</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（四）具有较强的语言表达能力、沟通交流能力和组织协调能力。</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符合上述条件，年龄不超过</w:t>
      </w:r>
      <w:r>
        <w:rPr>
          <w:rFonts w:ascii="仿宋_GB2312" w:eastAsia="仿宋_GB2312" w:hAnsi="仿宋_GB2312" w:cs="仿宋_GB2312" w:hint="eastAsia"/>
          <w:color w:val="333333"/>
          <w:sz w:val="32"/>
          <w:szCs w:val="32"/>
          <w:shd w:val="clear" w:color="auto" w:fill="FFFFFF"/>
        </w:rPr>
        <w:t>65</w:t>
      </w:r>
      <w:r>
        <w:rPr>
          <w:rFonts w:ascii="仿宋_GB2312" w:eastAsia="仿宋_GB2312" w:hAnsi="仿宋_GB2312" w:cs="仿宋_GB2312" w:hint="eastAsia"/>
          <w:color w:val="333333"/>
          <w:sz w:val="32"/>
          <w:szCs w:val="32"/>
          <w:shd w:val="clear" w:color="auto" w:fill="FFFFFF"/>
        </w:rPr>
        <w:t>周岁的退休人员也可以经推荐担任一个任期的法治副校长。</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黑体" w:hint="eastAsia"/>
          <w:color w:val="333333"/>
          <w:sz w:val="32"/>
          <w:szCs w:val="32"/>
          <w:shd w:val="clear" w:color="auto" w:fill="FFFFFF"/>
        </w:rPr>
        <w:t>第七条</w:t>
      </w:r>
      <w:r>
        <w:rPr>
          <w:rFonts w:ascii="仿宋_GB2312" w:eastAsia="仿宋_GB2312" w:hAnsi="仿宋_GB2312" w:cs="仿宋_GB2312" w:hint="eastAsia"/>
          <w:color w:val="333333"/>
          <w:sz w:val="32"/>
          <w:szCs w:val="32"/>
          <w:shd w:val="clear" w:color="auto" w:fill="FFFFFF"/>
        </w:rPr>
        <w:t xml:space="preserve">　教育行政部门应当商有关部门制定法治副校长聘任计划，会同派出机关综合考虑学校需求和工作便利，协商确定、统筹安排法治副校长人选，优先为偏远地区、农村地区学校和城市薄弱学校配备法治副校长。</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黑体" w:hint="eastAsia"/>
          <w:color w:val="333333"/>
          <w:sz w:val="32"/>
          <w:szCs w:val="32"/>
          <w:shd w:val="clear" w:color="auto" w:fill="FFFFFF"/>
        </w:rPr>
        <w:t>第八条</w:t>
      </w:r>
      <w:r>
        <w:rPr>
          <w:rFonts w:ascii="仿宋_GB2312" w:eastAsia="仿宋_GB2312" w:hAnsi="仿宋_GB2312" w:cs="仿宋_GB2312" w:hint="eastAsia"/>
          <w:color w:val="333333"/>
          <w:sz w:val="32"/>
          <w:szCs w:val="32"/>
          <w:shd w:val="clear" w:color="auto" w:fill="FFFFFF"/>
        </w:rPr>
        <w:t xml:space="preserve">　每所学校应当配备至少</w:t>
      </w: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hint="eastAsia"/>
          <w:color w:val="333333"/>
          <w:sz w:val="32"/>
          <w:szCs w:val="32"/>
          <w:shd w:val="clear" w:color="auto" w:fill="FFFFFF"/>
        </w:rPr>
        <w:t>名法治副校长，师生人数多、有需求的学校，可以聘任</w:t>
      </w:r>
      <w:r>
        <w:rPr>
          <w:rFonts w:ascii="仿宋_GB2312" w:eastAsia="仿宋_GB2312" w:hAnsi="仿宋_GB2312" w:cs="仿宋_GB2312" w:hint="eastAsia"/>
          <w:color w:val="333333"/>
          <w:sz w:val="32"/>
          <w:szCs w:val="32"/>
          <w:shd w:val="clear" w:color="auto" w:fill="FFFFFF"/>
        </w:rPr>
        <w:t>2</w:t>
      </w:r>
      <w:r>
        <w:rPr>
          <w:rFonts w:ascii="仿宋_GB2312" w:eastAsia="仿宋_GB2312" w:hAnsi="仿宋_GB2312" w:cs="仿宋_GB2312" w:hint="eastAsia"/>
          <w:color w:val="333333"/>
          <w:sz w:val="32"/>
          <w:szCs w:val="32"/>
          <w:shd w:val="clear" w:color="auto" w:fill="FFFFFF"/>
        </w:rPr>
        <w:t>名以上</w:t>
      </w:r>
      <w:r>
        <w:rPr>
          <w:rFonts w:ascii="仿宋_GB2312" w:eastAsia="仿宋_GB2312" w:hAnsi="仿宋_GB2312" w:cs="仿宋_GB2312" w:hint="eastAsia"/>
          <w:color w:val="333333"/>
          <w:sz w:val="32"/>
          <w:szCs w:val="32"/>
          <w:shd w:val="clear" w:color="auto" w:fill="FFFFFF"/>
        </w:rPr>
        <w:t>5</w:t>
      </w:r>
      <w:r>
        <w:rPr>
          <w:rFonts w:ascii="仿宋_GB2312" w:eastAsia="仿宋_GB2312" w:hAnsi="仿宋_GB2312" w:cs="仿宋_GB2312" w:hint="eastAsia"/>
          <w:color w:val="333333"/>
          <w:sz w:val="32"/>
          <w:szCs w:val="32"/>
          <w:shd w:val="clear" w:color="auto" w:fill="FFFFFF"/>
        </w:rPr>
        <w:t>名以下法治副校长。</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根据工作需要，</w:t>
      </w: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hint="eastAsia"/>
          <w:color w:val="333333"/>
          <w:sz w:val="32"/>
          <w:szCs w:val="32"/>
          <w:shd w:val="clear" w:color="auto" w:fill="FFFFFF"/>
        </w:rPr>
        <w:t>人可以同时担任</w:t>
      </w:r>
      <w:r>
        <w:rPr>
          <w:rFonts w:ascii="仿宋_GB2312" w:eastAsia="仿宋_GB2312" w:hAnsi="仿宋_GB2312" w:cs="仿宋_GB2312" w:hint="eastAsia"/>
          <w:color w:val="333333"/>
          <w:sz w:val="32"/>
          <w:szCs w:val="32"/>
          <w:shd w:val="clear" w:color="auto" w:fill="FFFFFF"/>
        </w:rPr>
        <w:t>2</w:t>
      </w:r>
      <w:r>
        <w:rPr>
          <w:rFonts w:ascii="仿宋_GB2312" w:eastAsia="仿宋_GB2312" w:hAnsi="仿宋_GB2312" w:cs="仿宋_GB2312" w:hint="eastAsia"/>
          <w:color w:val="333333"/>
          <w:sz w:val="32"/>
          <w:szCs w:val="32"/>
          <w:shd w:val="clear" w:color="auto" w:fill="FFFFFF"/>
        </w:rPr>
        <w:t>所学校的法治副校长。</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黑体" w:hint="eastAsia"/>
          <w:color w:val="333333"/>
          <w:sz w:val="32"/>
          <w:szCs w:val="32"/>
          <w:shd w:val="clear" w:color="auto" w:fill="FFFFFF"/>
        </w:rPr>
        <w:t>第九条</w:t>
      </w:r>
      <w:r>
        <w:rPr>
          <w:rFonts w:ascii="仿宋_GB2312" w:eastAsia="仿宋_GB2312" w:hAnsi="仿宋_GB2312" w:cs="仿宋_GB2312" w:hint="eastAsia"/>
          <w:color w:val="333333"/>
          <w:sz w:val="32"/>
          <w:szCs w:val="32"/>
          <w:shd w:val="clear" w:color="auto" w:fill="FFFFFF"/>
        </w:rPr>
        <w:t xml:space="preserve">　县级或者设区的市级人民政府教育行政部门可以商有关部门组建由不同派出机关人员组成的法治副校长工作团队，服务区域内学校。</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黑体" w:hint="eastAsia"/>
          <w:color w:val="333333"/>
          <w:sz w:val="32"/>
          <w:szCs w:val="32"/>
          <w:shd w:val="clear" w:color="auto" w:fill="FFFFFF"/>
        </w:rPr>
        <w:t>第十条</w:t>
      </w:r>
      <w:r>
        <w:rPr>
          <w:rFonts w:ascii="仿宋_GB2312" w:eastAsia="仿宋_GB2312" w:hAnsi="仿宋_GB2312" w:cs="仿宋_GB2312" w:hint="eastAsia"/>
          <w:color w:val="333333"/>
          <w:sz w:val="32"/>
          <w:szCs w:val="32"/>
          <w:shd w:val="clear" w:color="auto" w:fill="FFFFFF"/>
        </w:rPr>
        <w:t xml:space="preserve">　教育行政部门会同派出机关</w:t>
      </w:r>
      <w:r>
        <w:rPr>
          <w:rFonts w:ascii="仿宋_GB2312" w:eastAsia="仿宋_GB2312" w:hAnsi="仿宋_GB2312" w:cs="仿宋_GB2312" w:hint="eastAsia"/>
          <w:color w:val="333333"/>
          <w:sz w:val="32"/>
          <w:szCs w:val="32"/>
          <w:shd w:val="clear" w:color="auto" w:fill="FFFFFF"/>
        </w:rPr>
        <w:t>建立法治副校长人员库，推荐符合条件的人员入库并动态调整。</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教育行政部门组织学校根据工作需要，参照就近就便的原则，从人员库中自主或者根据统一安排选聘法治副校长，经各方协商一致，确定聘任人选。</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黑体" w:hint="eastAsia"/>
          <w:color w:val="333333"/>
          <w:sz w:val="32"/>
          <w:szCs w:val="32"/>
          <w:shd w:val="clear" w:color="auto" w:fill="FFFFFF"/>
        </w:rPr>
        <w:t>第十一条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法治副校长由所聘学校颁发聘书。聘期一般为三年，期满后可以续聘。</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学校已聘任的法治副校长因派出机关工作变动或其他原因不宜或者不能继续履职的，应当及时报告，由教育主管部门会同派出机关在</w:t>
      </w:r>
      <w:r>
        <w:rPr>
          <w:rFonts w:ascii="仿宋_GB2312" w:eastAsia="仿宋_GB2312" w:hAnsi="仿宋_GB2312" w:cs="仿宋_GB2312" w:hint="eastAsia"/>
          <w:color w:val="333333"/>
          <w:sz w:val="32"/>
          <w:szCs w:val="32"/>
          <w:shd w:val="clear" w:color="auto" w:fill="FFFFFF"/>
        </w:rPr>
        <w:t>30</w:t>
      </w:r>
      <w:r>
        <w:rPr>
          <w:rFonts w:ascii="仿宋_GB2312" w:eastAsia="仿宋_GB2312" w:hAnsi="仿宋_GB2312" w:cs="仿宋_GB2312" w:hint="eastAsia"/>
          <w:color w:val="333333"/>
          <w:sz w:val="32"/>
          <w:szCs w:val="32"/>
          <w:shd w:val="clear" w:color="auto" w:fill="FFFFFF"/>
        </w:rPr>
        <w:t>日内重新推荐或者委派。</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黑体" w:hint="eastAsia"/>
          <w:color w:val="333333"/>
          <w:sz w:val="32"/>
          <w:szCs w:val="32"/>
          <w:shd w:val="clear" w:color="auto" w:fill="FFFFFF"/>
        </w:rPr>
        <w:t>第十二条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教育行政部门应当会同派出机关制定法治副校长培训方案和规划，并纳入教师、校长培训规划，安排经费对</w:t>
      </w:r>
      <w:r>
        <w:rPr>
          <w:rFonts w:ascii="仿宋_GB2312" w:eastAsia="仿宋_GB2312" w:hAnsi="仿宋_GB2312" w:cs="仿宋_GB2312" w:hint="eastAsia"/>
          <w:color w:val="333333"/>
          <w:sz w:val="32"/>
          <w:szCs w:val="32"/>
          <w:shd w:val="clear" w:color="auto" w:fill="FFFFFF"/>
        </w:rPr>
        <w:t>法治副校长开展培训。培训应当包括政治理论、未成年人保护、教育法律政策、心理健康教育、学校安全管理等方面的内容。</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法治副校长任职前，应当接受不少于</w:t>
      </w:r>
      <w:r>
        <w:rPr>
          <w:rFonts w:ascii="仿宋_GB2312" w:eastAsia="仿宋_GB2312" w:hAnsi="仿宋_GB2312" w:cs="仿宋_GB2312" w:hint="eastAsia"/>
          <w:color w:val="333333"/>
          <w:sz w:val="32"/>
          <w:szCs w:val="32"/>
          <w:shd w:val="clear" w:color="auto" w:fill="FFFFFF"/>
        </w:rPr>
        <w:t>8</w:t>
      </w:r>
      <w:r>
        <w:rPr>
          <w:rFonts w:ascii="仿宋_GB2312" w:eastAsia="仿宋_GB2312" w:hAnsi="仿宋_GB2312" w:cs="仿宋_GB2312" w:hint="eastAsia"/>
          <w:color w:val="333333"/>
          <w:sz w:val="32"/>
          <w:szCs w:val="32"/>
          <w:shd w:val="clear" w:color="auto" w:fill="FFFFFF"/>
        </w:rPr>
        <w:t>学时的培训。任职期间，根据实际安排参加相应的培训。</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黑体" w:hint="eastAsia"/>
          <w:color w:val="333333"/>
          <w:sz w:val="32"/>
          <w:szCs w:val="32"/>
          <w:shd w:val="clear" w:color="auto" w:fill="FFFFFF"/>
        </w:rPr>
        <w:t>第十三条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派出机关应当采取必要措施，保障所派出的法治副校长在任职学校有必要的工作时间和条件，鼓励、支持其履职尽责。</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法治副校长应当按照本办法主动参与学校工作，积极参加培训，定期到校开展工作。鼓励法治副校长利用信息化手段，参与</w:t>
      </w:r>
      <w:r>
        <w:rPr>
          <w:rFonts w:ascii="仿宋_GB2312" w:eastAsia="仿宋_GB2312" w:hAnsi="仿宋_GB2312" w:cs="仿宋_GB2312" w:hint="eastAsia"/>
          <w:color w:val="333333"/>
          <w:sz w:val="32"/>
          <w:szCs w:val="32"/>
          <w:shd w:val="clear" w:color="auto" w:fill="FFFFFF"/>
        </w:rPr>
        <w:lastRenderedPageBreak/>
        <w:t>学校工作。</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黑体" w:hint="eastAsia"/>
          <w:color w:val="333333"/>
          <w:sz w:val="32"/>
          <w:szCs w:val="32"/>
          <w:shd w:val="clear" w:color="auto" w:fill="FFFFFF"/>
        </w:rPr>
        <w:t>第十四条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将支持法治副校长履职纳入整体工作规划，主动向法治副校长介绍学校有关情况，定期收集教职工、学生及学生家长的法律服务需求并及时向法治副校长反馈，配合法治副校长做好相关工作。涉及到法治副校长履职的会议、活动，应当事先与法治副校长沟通，并通知其参加。</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学校应当结合实际为法治副校长履职提供必要的便利条件。</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法治副校长的基本情况和工作职责等应当以适当方式在学校公示。</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黑体" w:hint="eastAsia"/>
          <w:color w:val="333333"/>
          <w:sz w:val="32"/>
          <w:szCs w:val="32"/>
          <w:shd w:val="clear" w:color="auto" w:fill="FFFFFF"/>
        </w:rPr>
        <w:t>第十五条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派出机关、教育行政部门可以根据有关规定，为在偏远农村地区、交通不便地区学校任职的法治副校长给予食宿、交通等补助。</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黑体" w:hint="eastAsia"/>
          <w:color w:val="333333"/>
          <w:sz w:val="32"/>
          <w:szCs w:val="32"/>
          <w:shd w:val="clear" w:color="auto" w:fill="FFFFFF"/>
        </w:rPr>
        <w:t>第十六条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学校应当建立</w:t>
      </w:r>
      <w:r>
        <w:rPr>
          <w:rFonts w:ascii="仿宋_GB2312" w:eastAsia="仿宋_GB2312" w:hAnsi="仿宋_GB2312" w:cs="仿宋_GB2312" w:hint="eastAsia"/>
          <w:color w:val="333333"/>
          <w:sz w:val="32"/>
          <w:szCs w:val="32"/>
          <w:shd w:val="clear" w:color="auto" w:fill="FFFFFF"/>
        </w:rPr>
        <w:t>法治副校长工作评价制度，按年度对法治副校长工作情况作出评价。</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学校对法治副校长进行评价时，应当听取教职工、学生及学生家长意见，形成客观、公正的评价结果，并将结果报送教育主管部门，由教育主管部门反馈派出机关。</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黑体" w:hint="eastAsia"/>
          <w:color w:val="333333"/>
          <w:sz w:val="32"/>
          <w:szCs w:val="32"/>
          <w:shd w:val="clear" w:color="auto" w:fill="FFFFFF"/>
        </w:rPr>
        <w:t>第十七条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派出机关应当将担任法治副校长工作纳入相关工作人员的工作量，明确为考核内容，学校作出的工作评价以及</w:t>
      </w:r>
      <w:r>
        <w:rPr>
          <w:rFonts w:ascii="仿宋_GB2312" w:eastAsia="仿宋_GB2312" w:hAnsi="仿宋_GB2312" w:cs="仿宋_GB2312" w:hint="eastAsia"/>
          <w:color w:val="333333"/>
          <w:sz w:val="32"/>
          <w:szCs w:val="32"/>
          <w:shd w:val="clear" w:color="auto" w:fill="FFFFFF"/>
        </w:rPr>
        <w:lastRenderedPageBreak/>
        <w:t>法治副校长的述职报告等应当一并作为考核其工作、晋职、晋级和立功受奖的重要依据。</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黑体" w:hint="eastAsia"/>
          <w:color w:val="333333"/>
          <w:sz w:val="32"/>
          <w:szCs w:val="32"/>
          <w:shd w:val="clear" w:color="auto" w:fill="FFFFFF"/>
        </w:rPr>
        <w:t>第十八条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地方教育行政部门应当定期对本区域内法治副校长的履职情况进行考评，对工作成绩突出的法治副校长，应当予以表彰、奖</w:t>
      </w:r>
      <w:r>
        <w:rPr>
          <w:rFonts w:ascii="仿宋_GB2312" w:eastAsia="仿宋_GB2312" w:hAnsi="仿宋_GB2312" w:cs="仿宋_GB2312" w:hint="eastAsia"/>
          <w:color w:val="333333"/>
          <w:sz w:val="32"/>
          <w:szCs w:val="32"/>
          <w:shd w:val="clear" w:color="auto" w:fill="FFFFFF"/>
        </w:rPr>
        <w:t>励或者会同派出机关联合予以表彰、奖励。</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司法行政部门应当将派出机关法治副校长履职情况作为落实“谁执法谁普法”普法责任制的重要方面，纳入普法工作考核内容。对推荐、聘任法治副校长工作成绩突出的派出机关、学校，应当作为普法工作评先评优的重要参考。</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各级教育行政部门应当会同派出机关对组织开展中小学法治副校长工作有显著成绩的组织和个人，按照有关规定给予表彰、奖励。</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黑体" w:hint="eastAsia"/>
          <w:color w:val="333333"/>
          <w:sz w:val="32"/>
          <w:szCs w:val="32"/>
          <w:shd w:val="clear" w:color="auto" w:fill="FFFFFF"/>
        </w:rPr>
        <w:t>第十九条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学校从其他执法机关、法学教育和法律服务机构等单位聘任校外法治辅导员的，参照本办法执行。</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幼儿园聘任法治副园长的，聘任与管理参照本办法执行。</w:t>
      </w:r>
    </w:p>
    <w:p w:rsidR="00BD6470" w:rsidRDefault="000A380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黑体" w:hint="eastAsia"/>
          <w:color w:val="333333"/>
          <w:sz w:val="32"/>
          <w:szCs w:val="32"/>
          <w:shd w:val="clear" w:color="auto" w:fill="FFFFFF"/>
        </w:rPr>
        <w:t>第二</w:t>
      </w:r>
      <w:r>
        <w:rPr>
          <w:rFonts w:ascii="黑体" w:eastAsia="黑体" w:hAnsi="黑体" w:cs="黑体" w:hint="eastAsia"/>
          <w:color w:val="333333"/>
          <w:sz w:val="32"/>
          <w:szCs w:val="32"/>
          <w:shd w:val="clear" w:color="auto" w:fill="FFFFFF"/>
        </w:rPr>
        <w:t>十条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本办法自</w:t>
      </w:r>
      <w:r>
        <w:rPr>
          <w:rFonts w:ascii="仿宋_GB2312" w:eastAsia="仿宋_GB2312" w:hAnsi="仿宋_GB2312" w:cs="仿宋_GB2312" w:hint="eastAsia"/>
          <w:color w:val="333333"/>
          <w:sz w:val="32"/>
          <w:szCs w:val="32"/>
          <w:shd w:val="clear" w:color="auto" w:fill="FFFFFF"/>
        </w:rPr>
        <w:t>2022</w:t>
      </w:r>
      <w:r>
        <w:rPr>
          <w:rFonts w:ascii="仿宋_GB2312" w:eastAsia="仿宋_GB2312" w:hAnsi="仿宋_GB2312" w:cs="仿宋_GB2312" w:hint="eastAsia"/>
          <w:color w:val="333333"/>
          <w:sz w:val="32"/>
          <w:szCs w:val="32"/>
          <w:shd w:val="clear" w:color="auto" w:fill="FFFFFF"/>
        </w:rPr>
        <w:t>年</w:t>
      </w:r>
      <w:r>
        <w:rPr>
          <w:rFonts w:ascii="仿宋_GB2312" w:eastAsia="仿宋_GB2312" w:hAnsi="仿宋_GB2312" w:cs="仿宋_GB2312" w:hint="eastAsia"/>
          <w:color w:val="333333"/>
          <w:sz w:val="32"/>
          <w:szCs w:val="32"/>
          <w:shd w:val="clear" w:color="auto" w:fill="FFFFFF"/>
        </w:rPr>
        <w:t>5</w:t>
      </w:r>
      <w:r>
        <w:rPr>
          <w:rFonts w:ascii="仿宋_GB2312" w:eastAsia="仿宋_GB2312" w:hAnsi="仿宋_GB2312" w:cs="仿宋_GB2312" w:hint="eastAsia"/>
          <w:color w:val="333333"/>
          <w:sz w:val="32"/>
          <w:szCs w:val="32"/>
          <w:shd w:val="clear" w:color="auto" w:fill="FFFFFF"/>
        </w:rPr>
        <w:t>月</w:t>
      </w: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hint="eastAsia"/>
          <w:color w:val="333333"/>
          <w:sz w:val="32"/>
          <w:szCs w:val="32"/>
          <w:shd w:val="clear" w:color="auto" w:fill="FFFFFF"/>
        </w:rPr>
        <w:t>日起施行。</w:t>
      </w:r>
    </w:p>
    <w:sectPr w:rsidR="00BD6470">
      <w:headerReference w:type="default" r:id="rId8"/>
      <w:footerReference w:type="default" r:id="rId9"/>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380E" w:rsidRDefault="000A380E">
      <w:r>
        <w:separator/>
      </w:r>
    </w:p>
  </w:endnote>
  <w:endnote w:type="continuationSeparator" w:id="0">
    <w:p w:rsidR="000A380E" w:rsidRDefault="000A38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黑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6470" w:rsidRDefault="000A380E">
    <w:pPr>
      <w:pStyle w:val="a6"/>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D6470" w:rsidRDefault="000A380E">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FE4AE2">
                            <w:rPr>
                              <w:rFonts w:ascii="宋体" w:eastAsia="宋体" w:hAnsi="宋体" w:cs="宋体"/>
                              <w:noProof/>
                              <w:sz w:val="28"/>
                              <w:szCs w:val="28"/>
                            </w:rPr>
                            <w:t>- 2 -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7"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BD6470" w:rsidRDefault="000A380E">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FE4AE2">
                      <w:rPr>
                        <w:rFonts w:ascii="宋体" w:eastAsia="宋体" w:hAnsi="宋体" w:cs="宋体"/>
                        <w:noProof/>
                        <w:sz w:val="28"/>
                        <w:szCs w:val="28"/>
                      </w:rPr>
                      <w:t>- 2 -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BD6470" w:rsidRDefault="000A380E">
    <w:pPr>
      <w:pStyle w:val="a6"/>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eastAsia="仿宋" w:hint="eastAsia"/>
        <w:color w:val="FAFAFA"/>
        <w:sz w:val="32"/>
        <w:szCs w:val="48"/>
      </w:rPr>
      <w:t>X</w:t>
    </w:r>
    <w:r w:rsidR="00FE4AE2">
      <w:rPr>
        <w:rFonts w:ascii="宋体" w:eastAsia="宋体" w:hAnsi="宋体" w:cs="宋体" w:hint="eastAsia"/>
        <w:b/>
        <w:bCs/>
        <w:color w:val="005192"/>
        <w:sz w:val="28"/>
        <w:szCs w:val="44"/>
      </w:rPr>
      <w:t xml:space="preserve">教育部发布     </w:t>
    </w:r>
  </w:p>
  <w:p w:rsidR="00BD6470" w:rsidRDefault="00BD6470">
    <w:pPr>
      <w:pStyle w:val="a6"/>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380E" w:rsidRDefault="000A380E">
      <w:r>
        <w:separator/>
      </w:r>
    </w:p>
  </w:footnote>
  <w:footnote w:type="continuationSeparator" w:id="0">
    <w:p w:rsidR="000A380E" w:rsidRDefault="000A38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6470" w:rsidRDefault="000A380E">
    <w:pPr>
      <w:pStyle w:val="a6"/>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rsidR="00BD6470" w:rsidRDefault="000A380E">
    <w:pPr>
      <w:pStyle w:val="a6"/>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szCs w:val="32"/>
      </w:rPr>
      <w:t>教育部规章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657E7"/>
    <w:rsid w:val="000A380E"/>
    <w:rsid w:val="00172A27"/>
    <w:rsid w:val="002507BA"/>
    <w:rsid w:val="00401E6B"/>
    <w:rsid w:val="004A3550"/>
    <w:rsid w:val="00512360"/>
    <w:rsid w:val="00546C6D"/>
    <w:rsid w:val="0065428A"/>
    <w:rsid w:val="006D072B"/>
    <w:rsid w:val="00761E3D"/>
    <w:rsid w:val="00765754"/>
    <w:rsid w:val="007F0E5C"/>
    <w:rsid w:val="008E1AA8"/>
    <w:rsid w:val="009410BC"/>
    <w:rsid w:val="00AA54D6"/>
    <w:rsid w:val="00AD63A2"/>
    <w:rsid w:val="00B30A2E"/>
    <w:rsid w:val="00BD6470"/>
    <w:rsid w:val="00D55A56"/>
    <w:rsid w:val="00DD4FBC"/>
    <w:rsid w:val="00F44C0B"/>
    <w:rsid w:val="00FD2B44"/>
    <w:rsid w:val="00FE4AE2"/>
    <w:rsid w:val="019E71BD"/>
    <w:rsid w:val="04B679C3"/>
    <w:rsid w:val="080F63D8"/>
    <w:rsid w:val="09341458"/>
    <w:rsid w:val="0B0912D7"/>
    <w:rsid w:val="0CB101B0"/>
    <w:rsid w:val="152D2DCA"/>
    <w:rsid w:val="154F5D74"/>
    <w:rsid w:val="1DEC284C"/>
    <w:rsid w:val="1E6523AC"/>
    <w:rsid w:val="22440422"/>
    <w:rsid w:val="2AFB4FC0"/>
    <w:rsid w:val="31A15F24"/>
    <w:rsid w:val="395347B5"/>
    <w:rsid w:val="39A232A0"/>
    <w:rsid w:val="39E745AA"/>
    <w:rsid w:val="3AF066A4"/>
    <w:rsid w:val="3B5A6BBB"/>
    <w:rsid w:val="3D5F71F9"/>
    <w:rsid w:val="3EDA13A6"/>
    <w:rsid w:val="42F058B7"/>
    <w:rsid w:val="436109F6"/>
    <w:rsid w:val="441A38D4"/>
    <w:rsid w:val="4BC77339"/>
    <w:rsid w:val="4C9236C5"/>
    <w:rsid w:val="505C172E"/>
    <w:rsid w:val="5068622B"/>
    <w:rsid w:val="52F46F0B"/>
    <w:rsid w:val="53D8014D"/>
    <w:rsid w:val="55E064E0"/>
    <w:rsid w:val="572C6D10"/>
    <w:rsid w:val="5DC34279"/>
    <w:rsid w:val="608816D1"/>
    <w:rsid w:val="60EF4E7F"/>
    <w:rsid w:val="665233C1"/>
    <w:rsid w:val="6AD9688B"/>
    <w:rsid w:val="6D0E3F22"/>
    <w:rsid w:val="785F1EAD"/>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7">
    <w:name w:val="annotation reference"/>
    <w:basedOn w:val="a0"/>
    <w:rPr>
      <w:sz w:val="21"/>
      <w:szCs w:val="21"/>
    </w:rPr>
  </w:style>
  <w:style w:type="character" w:customStyle="1" w:styleId="Char">
    <w:name w:val="批注框文本 Char"/>
    <w:basedOn w:val="a0"/>
    <w:link w:val="a4"/>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7">
    <w:name w:val="annotation reference"/>
    <w:basedOn w:val="a0"/>
    <w:rPr>
      <w:sz w:val="21"/>
      <w:szCs w:val="21"/>
    </w:rPr>
  </w:style>
  <w:style w:type="character" w:customStyle="1" w:styleId="Char">
    <w:name w:val="批注框文本 Char"/>
    <w:basedOn w:val="a0"/>
    <w:link w:val="a4"/>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441</Words>
  <Characters>2520</Characters>
  <Application>Microsoft Office Word</Application>
  <DocSecurity>0</DocSecurity>
  <Lines>21</Lines>
  <Paragraphs>5</Paragraphs>
  <ScaleCrop>false</ScaleCrop>
  <Company>China</Company>
  <LinksUpToDate>false</LinksUpToDate>
  <CharactersWithSpaces>2956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dell</cp:lastModifiedBy>
  <cp:revision>11</cp:revision>
  <cp:lastPrinted>2022-02-17T02:20:00Z</cp:lastPrinted>
  <dcterms:created xsi:type="dcterms:W3CDTF">2021-11-30T08:40:00Z</dcterms:created>
  <dcterms:modified xsi:type="dcterms:W3CDTF">2022-02-17T02:20:00Z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AF0E219EC45A471B8A05547E19C03728</vt:lpwstr>
  </property>
</Properties>
</file>