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p>
    <w:p>
      <w:pPr>
        <w:rPr>
          <w:rFonts w:ascii="仿宋_GB2312" w:eastAsia="仿宋_GB2312"/>
          <w:sz w:val="32"/>
          <w:szCs w:val="32"/>
        </w:rPr>
      </w:pPr>
    </w:p>
    <w:p>
      <w:pPr>
        <w:spacing w:line="660" w:lineRule="exact"/>
        <w:rPr>
          <w:rFonts w:ascii="仿宋_GB2312" w:eastAsia="仿宋_GB2312"/>
          <w:sz w:val="32"/>
          <w:szCs w:val="32"/>
        </w:rPr>
      </w:pPr>
    </w:p>
    <w:p>
      <w:pPr>
        <w:spacing w:line="660" w:lineRule="exact"/>
        <w:rPr>
          <w:rFonts w:ascii="仿宋_GB2312" w:eastAsia="仿宋_GB2312"/>
          <w:sz w:val="32"/>
          <w:szCs w:val="32"/>
        </w:rPr>
      </w:pPr>
    </w:p>
    <w:p>
      <w:pPr>
        <w:spacing w:line="600" w:lineRule="exact"/>
        <w:rPr>
          <w:rFonts w:ascii="仿宋_GB2312" w:eastAsia="仿宋_GB2312"/>
          <w:sz w:val="32"/>
          <w:szCs w:val="32"/>
        </w:rPr>
      </w:pPr>
    </w:p>
    <w:p>
      <w:pPr>
        <w:spacing w:line="1640" w:lineRule="exact"/>
        <w:jc w:val="center"/>
        <w:rPr>
          <w:rFonts w:hint="eastAsia" w:eastAsia="楷体"/>
          <w:sz w:val="32"/>
          <w:szCs w:val="32"/>
          <w:lang w:eastAsia="zh-CN"/>
        </w:rPr>
      </w:pPr>
      <w:r>
        <w:rPr>
          <w:rFonts w:ascii="仿宋" w:hAnsi="仿宋"/>
          <w:sz w:val="32"/>
          <w:szCs w:val="32"/>
        </w:rPr>
        <w:t>法大</w:t>
      </w:r>
      <w:r>
        <w:rPr>
          <w:rFonts w:hint="eastAsia" w:ascii="仿宋" w:hAnsi="仿宋"/>
          <w:sz w:val="32"/>
          <w:szCs w:val="32"/>
        </w:rPr>
        <w:t>报</w:t>
      </w:r>
      <w:r>
        <w:rPr>
          <w:rFonts w:ascii="仿宋" w:hAnsi="仿宋"/>
          <w:sz w:val="32"/>
          <w:szCs w:val="32"/>
        </w:rPr>
        <w:t>〔20</w:t>
      </w:r>
      <w:r>
        <w:rPr>
          <w:rFonts w:hint="eastAsia" w:ascii="仿宋" w:hAnsi="仿宋"/>
          <w:sz w:val="32"/>
          <w:szCs w:val="32"/>
        </w:rPr>
        <w:t>19</w:t>
      </w:r>
      <w:r>
        <w:rPr>
          <w:rFonts w:ascii="仿宋" w:hAnsi="仿宋"/>
          <w:sz w:val="32"/>
          <w:szCs w:val="32"/>
        </w:rPr>
        <w:t>〕</w:t>
      </w:r>
      <w:r>
        <w:rPr>
          <w:rFonts w:hint="eastAsia" w:ascii="仿宋" w:hAnsi="仿宋"/>
          <w:sz w:val="32"/>
          <w:szCs w:val="32"/>
          <w:lang w:val="en-US" w:eastAsia="zh-CN"/>
        </w:rPr>
        <w:t>65</w:t>
      </w:r>
      <w:r>
        <w:rPr>
          <w:rFonts w:ascii="仿宋" w:hAnsi="仿宋"/>
          <w:sz w:val="32"/>
          <w:szCs w:val="32"/>
        </w:rPr>
        <w:t>号　</w:t>
      </w: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w:t>
      </w:r>
      <w:r>
        <w:rPr>
          <w:rFonts w:ascii="仿宋" w:hAnsi="仿宋"/>
          <w:sz w:val="32"/>
          <w:szCs w:val="32"/>
        </w:rPr>
        <w:t>签发人</w:t>
      </w:r>
      <w:r>
        <w:rPr>
          <w:rFonts w:ascii="楷体" w:hAnsi="楷体" w:eastAsia="楷体"/>
          <w:sz w:val="32"/>
          <w:szCs w:val="32"/>
        </w:rPr>
        <w:t>：</w:t>
      </w:r>
      <w:r>
        <w:rPr>
          <w:rFonts w:hint="eastAsia" w:ascii="楷体" w:hAnsi="楷体" w:eastAsia="楷体"/>
          <w:sz w:val="32"/>
          <w:szCs w:val="32"/>
          <w:lang w:eastAsia="zh-CN"/>
        </w:rPr>
        <w:t>冯世勇</w:t>
      </w:r>
    </w:p>
    <w:p>
      <w:pPr>
        <w:spacing w:line="520" w:lineRule="exact"/>
        <w:rPr>
          <w:rFonts w:ascii="仿宋" w:hAnsi="仿宋"/>
          <w:sz w:val="30"/>
          <w:szCs w:val="30"/>
        </w:rPr>
      </w:pPr>
    </w:p>
    <w:p>
      <w:pPr>
        <w:spacing w:line="520" w:lineRule="exact"/>
        <w:rPr>
          <w:rFonts w:ascii="仿宋" w:hAnsi="仿宋"/>
          <w:sz w:val="30"/>
          <w:szCs w:val="30"/>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简体" w:hAnsi="仿宋" w:eastAsia="方正小标宋简体"/>
          <w:sz w:val="44"/>
          <w:szCs w:val="44"/>
        </w:rPr>
      </w:pPr>
      <w:r>
        <w:rPr>
          <w:rFonts w:hint="eastAsia" w:ascii="方正小标宋简体" w:hAnsi="宋体" w:eastAsia="方正小标宋简体" w:cs="宋体"/>
          <w:kern w:val="0"/>
          <w:sz w:val="44"/>
          <w:szCs w:val="44"/>
        </w:rPr>
        <w:t>中国政法大学</w:t>
      </w:r>
      <w:r>
        <w:rPr>
          <w:rFonts w:hint="eastAsia" w:ascii="方正小标宋简体" w:hAnsi="宋体" w:eastAsia="方正小标宋简体" w:cs="宋体"/>
          <w:kern w:val="0"/>
          <w:sz w:val="44"/>
          <w:szCs w:val="44"/>
          <w:lang w:eastAsia="zh-CN"/>
        </w:rPr>
        <w:t>关于呈送</w:t>
      </w:r>
      <w:r>
        <w:rPr>
          <w:rFonts w:hint="eastAsia" w:ascii="方正小标宋简体" w:hAnsi="宋体" w:eastAsia="方正小标宋简体" w:cs="宋体"/>
          <w:kern w:val="0"/>
          <w:sz w:val="44"/>
          <w:szCs w:val="44"/>
          <w:lang w:val="en-US" w:eastAsia="zh-CN"/>
        </w:rPr>
        <w:t>2</w:t>
      </w:r>
      <w:r>
        <w:rPr>
          <w:rFonts w:hint="eastAsia" w:ascii="方正小标宋简体" w:hAnsi="仿宋" w:eastAsia="方正小标宋简体"/>
          <w:sz w:val="44"/>
          <w:szCs w:val="44"/>
          <w:lang w:val="en-US" w:eastAsia="zh-CN"/>
        </w:rPr>
        <w:t>018—</w:t>
      </w:r>
      <w:r>
        <w:rPr>
          <w:rFonts w:hint="eastAsia" w:ascii="方正小标宋简体" w:hAnsi="仿宋" w:eastAsia="方正小标宋简体"/>
          <w:sz w:val="44"/>
          <w:szCs w:val="44"/>
        </w:rPr>
        <w:t>201</w:t>
      </w:r>
      <w:r>
        <w:rPr>
          <w:rFonts w:hint="eastAsia" w:ascii="方正小标宋简体" w:hAnsi="仿宋" w:eastAsia="方正小标宋简体"/>
          <w:sz w:val="44"/>
          <w:szCs w:val="44"/>
          <w:lang w:val="en-US" w:eastAsia="zh-CN"/>
        </w:rPr>
        <w:t>9学</w:t>
      </w:r>
      <w:r>
        <w:rPr>
          <w:rFonts w:hint="eastAsia" w:ascii="方正小标宋简体" w:hAnsi="仿宋" w:eastAsia="方正小标宋简体"/>
          <w:sz w:val="44"/>
          <w:szCs w:val="44"/>
        </w:rPr>
        <w:t>年</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44"/>
          <w:szCs w:val="44"/>
          <w:lang w:eastAsia="zh-CN"/>
        </w:rPr>
      </w:pPr>
      <w:r>
        <w:rPr>
          <w:rFonts w:hint="eastAsia" w:ascii="方正小标宋简体" w:hAnsi="仿宋" w:eastAsia="方正小标宋简体"/>
          <w:sz w:val="44"/>
          <w:szCs w:val="44"/>
        </w:rPr>
        <w:t>信息公开报告</w:t>
      </w:r>
      <w:r>
        <w:rPr>
          <w:rFonts w:hint="eastAsia" w:ascii="方正小标宋简体" w:hAnsi="仿宋" w:eastAsia="方正小标宋简体"/>
          <w:sz w:val="44"/>
          <w:szCs w:val="44"/>
          <w:lang w:eastAsia="zh-CN"/>
        </w:rPr>
        <w:t>的报告</w:t>
      </w:r>
    </w:p>
    <w:p>
      <w:pPr>
        <w:keepNext w:val="0"/>
        <w:keepLines w:val="0"/>
        <w:pageBreakBefore w:val="0"/>
        <w:widowControl w:val="0"/>
        <w:kinsoku/>
        <w:overflowPunct/>
        <w:topLinePunct w:val="0"/>
        <w:autoSpaceDE/>
        <w:autoSpaceDN/>
        <w:bidi w:val="0"/>
        <w:adjustRightInd/>
        <w:snapToGrid/>
        <w:spacing w:line="600" w:lineRule="exact"/>
        <w:textAlignment w:val="auto"/>
        <w:rPr>
          <w:rFonts w:eastAsia="宋体"/>
          <w:sz w:val="21"/>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教育部：</w:t>
      </w: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r>
        <w:rPr>
          <w:rFonts w:hint="eastAsia" w:ascii="仿宋" w:hAnsi="仿宋" w:eastAsia="仿宋"/>
          <w:sz w:val="32"/>
          <w:szCs w:val="32"/>
        </w:rPr>
        <w:t>根据《政府信息公开条例》</w:t>
      </w:r>
      <w:r>
        <w:rPr>
          <w:rFonts w:hint="eastAsia" w:ascii="仿宋" w:hAnsi="仿宋" w:eastAsia="仿宋"/>
          <w:sz w:val="32"/>
          <w:szCs w:val="32"/>
          <w:lang w:eastAsia="zh-CN"/>
        </w:rPr>
        <w:t>（</w:t>
      </w:r>
      <w:r>
        <w:rPr>
          <w:rFonts w:hint="eastAsia" w:ascii="仿宋" w:hAnsi="仿宋" w:eastAsia="仿宋"/>
          <w:sz w:val="32"/>
          <w:szCs w:val="32"/>
          <w:lang w:val="en-US" w:eastAsia="zh-CN"/>
        </w:rPr>
        <w:t>2019年修订</w:t>
      </w:r>
      <w:r>
        <w:rPr>
          <w:rFonts w:hint="eastAsia" w:ascii="仿宋" w:hAnsi="仿宋" w:eastAsia="仿宋"/>
          <w:sz w:val="32"/>
          <w:szCs w:val="32"/>
          <w:lang w:eastAsia="zh-CN"/>
        </w:rPr>
        <w:t>）</w:t>
      </w:r>
      <w:r>
        <w:rPr>
          <w:rFonts w:hint="eastAsia" w:ascii="仿宋" w:hAnsi="仿宋" w:eastAsia="仿宋"/>
          <w:sz w:val="32"/>
          <w:szCs w:val="32"/>
        </w:rPr>
        <w:t>《高等学校信息公开办法》《教育部关于公布&lt;高等学校信息公开事项清单&gt;的通知》要求，</w:t>
      </w:r>
      <w:r>
        <w:rPr>
          <w:rFonts w:hint="eastAsia" w:ascii="仿宋" w:hAnsi="仿宋"/>
          <w:sz w:val="32"/>
          <w:szCs w:val="32"/>
          <w:lang w:eastAsia="zh-CN"/>
        </w:rPr>
        <w:t>我校编制《中国政法大学</w:t>
      </w:r>
      <w:r>
        <w:rPr>
          <w:rFonts w:hint="eastAsia" w:ascii="仿宋" w:hAnsi="仿宋"/>
          <w:sz w:val="32"/>
          <w:szCs w:val="32"/>
          <w:lang w:val="en-US" w:eastAsia="zh-CN"/>
        </w:rPr>
        <w:t>2018—</w:t>
      </w:r>
      <w:r>
        <w:rPr>
          <w:rFonts w:hint="eastAsia" w:ascii="仿宋" w:hAnsi="仿宋"/>
          <w:sz w:val="32"/>
          <w:szCs w:val="32"/>
          <w:lang w:eastAsia="zh-CN"/>
        </w:rPr>
        <w:t>201</w:t>
      </w:r>
      <w:r>
        <w:rPr>
          <w:rFonts w:hint="eastAsia" w:ascii="仿宋" w:hAnsi="仿宋"/>
          <w:sz w:val="32"/>
          <w:szCs w:val="32"/>
          <w:lang w:val="en-US" w:eastAsia="zh-CN"/>
        </w:rPr>
        <w:t>9学</w:t>
      </w:r>
      <w:r>
        <w:rPr>
          <w:rFonts w:hint="eastAsia" w:ascii="仿宋" w:hAnsi="仿宋"/>
          <w:sz w:val="32"/>
          <w:szCs w:val="32"/>
          <w:lang w:eastAsia="zh-CN"/>
        </w:rPr>
        <w:t>年信息公开报告》，报告的统计期限为201</w:t>
      </w:r>
      <w:r>
        <w:rPr>
          <w:rFonts w:hint="eastAsia" w:ascii="仿宋" w:hAnsi="仿宋"/>
          <w:sz w:val="32"/>
          <w:szCs w:val="32"/>
          <w:lang w:val="en-US" w:eastAsia="zh-CN"/>
        </w:rPr>
        <w:t>8</w:t>
      </w:r>
      <w:r>
        <w:rPr>
          <w:rFonts w:hint="eastAsia" w:ascii="仿宋" w:hAnsi="仿宋"/>
          <w:sz w:val="32"/>
          <w:szCs w:val="32"/>
          <w:lang w:eastAsia="zh-CN"/>
        </w:rPr>
        <w:t>年9月1日至201</w:t>
      </w:r>
      <w:r>
        <w:rPr>
          <w:rFonts w:hint="eastAsia" w:ascii="仿宋" w:hAnsi="仿宋"/>
          <w:sz w:val="32"/>
          <w:szCs w:val="32"/>
          <w:lang w:val="en-US" w:eastAsia="zh-CN"/>
        </w:rPr>
        <w:t>9</w:t>
      </w:r>
      <w:r>
        <w:rPr>
          <w:rFonts w:hint="eastAsia" w:ascii="仿宋" w:hAnsi="仿宋"/>
          <w:sz w:val="32"/>
          <w:szCs w:val="32"/>
          <w:lang w:eastAsia="zh-CN"/>
        </w:rPr>
        <w:t>年8月31日。现予以呈送。</w:t>
      </w: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r>
        <w:rPr>
          <w:rFonts w:hint="eastAsia" w:ascii="仿宋" w:hAnsi="仿宋"/>
          <w:sz w:val="32"/>
          <w:szCs w:val="32"/>
          <w:lang w:eastAsia="zh-CN"/>
        </w:rPr>
        <w:t>特此报告。</w:t>
      </w: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r>
        <w:rPr>
          <w:rFonts w:hint="eastAsia" w:ascii="仿宋" w:hAnsi="仿宋"/>
          <w:sz w:val="32"/>
          <w:szCs w:val="32"/>
          <w:lang w:eastAsia="zh-CN"/>
        </w:rPr>
        <w:t>附件：中国政法大学</w:t>
      </w:r>
      <w:r>
        <w:rPr>
          <w:rFonts w:hint="eastAsia" w:ascii="仿宋" w:hAnsi="仿宋"/>
          <w:sz w:val="32"/>
          <w:szCs w:val="32"/>
          <w:lang w:val="en-US" w:eastAsia="zh-CN"/>
        </w:rPr>
        <w:t>2018—</w:t>
      </w:r>
      <w:r>
        <w:rPr>
          <w:rFonts w:hint="eastAsia" w:ascii="仿宋" w:hAnsi="仿宋"/>
          <w:sz w:val="32"/>
          <w:szCs w:val="32"/>
          <w:lang w:eastAsia="zh-CN"/>
        </w:rPr>
        <w:t>201</w:t>
      </w:r>
      <w:r>
        <w:rPr>
          <w:rFonts w:hint="eastAsia" w:ascii="仿宋" w:hAnsi="仿宋"/>
          <w:sz w:val="32"/>
          <w:szCs w:val="32"/>
          <w:lang w:val="en-US" w:eastAsia="zh-CN"/>
        </w:rPr>
        <w:t>9学</w:t>
      </w:r>
      <w:r>
        <w:rPr>
          <w:rFonts w:hint="eastAsia" w:ascii="仿宋" w:hAnsi="仿宋"/>
          <w:sz w:val="32"/>
          <w:szCs w:val="32"/>
          <w:lang w:eastAsia="zh-CN"/>
        </w:rPr>
        <w:t>年信息公开报告</w:t>
      </w: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p>
    <w:p>
      <w:pPr>
        <w:keepNext w:val="0"/>
        <w:keepLines w:val="0"/>
        <w:pageBreakBefore w:val="0"/>
        <w:widowControl w:val="0"/>
        <w:kinsoku/>
        <w:overflowPunct/>
        <w:topLinePunct w:val="0"/>
        <w:autoSpaceDE/>
        <w:autoSpaceDN/>
        <w:bidi w:val="0"/>
        <w:adjustRightInd/>
        <w:snapToGrid/>
        <w:spacing w:line="600" w:lineRule="exact"/>
        <w:ind w:firstLine="960" w:firstLineChars="300"/>
        <w:textAlignment w:val="auto"/>
        <w:rPr>
          <w:rFonts w:hint="eastAsia" w:ascii="仿宋" w:hAnsi="仿宋"/>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default" w:ascii="仿宋" w:hAnsi="仿宋"/>
          <w:sz w:val="32"/>
          <w:szCs w:val="32"/>
          <w:lang w:val="en-US" w:eastAsia="zh-CN"/>
        </w:rPr>
      </w:pPr>
      <w:r>
        <w:rPr>
          <w:rFonts w:hint="eastAsia" w:ascii="仿宋" w:hAnsi="仿宋"/>
          <w:sz w:val="32"/>
          <w:szCs w:val="32"/>
          <w:lang w:val="en-US" w:eastAsia="zh-CN"/>
        </w:rPr>
        <w:t xml:space="preserve"> </w:t>
      </w:r>
      <w:r>
        <w:rPr>
          <w:rFonts w:hint="eastAsia" w:ascii="仿宋" w:hAnsi="仿宋"/>
          <w:sz w:val="32"/>
          <w:szCs w:val="32"/>
          <w:lang w:eastAsia="zh-CN"/>
        </w:rPr>
        <w:t>中国政法大学</w:t>
      </w:r>
      <w:r>
        <w:rPr>
          <w:rFonts w:hint="eastAsia" w:ascii="仿宋" w:hAnsi="仿宋"/>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r>
        <w:rPr>
          <w:rFonts w:hint="eastAsia" w:ascii="仿宋" w:hAnsi="仿宋"/>
          <w:sz w:val="32"/>
          <w:szCs w:val="32"/>
          <w:lang w:val="en-US" w:eastAsia="zh-CN"/>
        </w:rPr>
        <w:t xml:space="preserve">2019年10月28日        </w:t>
      </w: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960" w:firstLineChars="300"/>
        <w:jc w:val="right"/>
        <w:textAlignment w:val="auto"/>
        <w:rPr>
          <w:rFonts w:hint="eastAsia" w:ascii="仿宋" w:hAnsi="仿宋"/>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eastAsia" w:ascii="仿宋" w:hAnsi="仿宋"/>
          <w:sz w:val="32"/>
          <w:szCs w:val="32"/>
          <w:lang w:val="en-US" w:eastAsia="zh-CN"/>
        </w:rPr>
      </w:pPr>
      <w:r>
        <w:rPr>
          <w:rFonts w:hint="eastAsia" w:ascii="仿宋" w:hAnsi="仿宋"/>
          <w:sz w:val="32"/>
          <w:szCs w:val="32"/>
          <w:lang w:val="en-US" w:eastAsia="zh-CN"/>
        </w:rPr>
        <w:t xml:space="preserve">     </w:t>
      </w:r>
    </w:p>
    <w:p>
      <w:pPr>
        <w:spacing w:line="600" w:lineRule="exact"/>
        <w:ind w:firstLine="280" w:firstLineChars="100"/>
        <w:rPr>
          <w:rFonts w:ascii="楷体" w:hAnsi="楷体" w:eastAsia="楷体" w:cs="楷体"/>
          <w:bCs/>
          <w:sz w:val="32"/>
          <w:szCs w:val="32"/>
        </w:rPr>
      </w:pPr>
      <w:r>
        <w:rPr>
          <w:rFonts w:ascii="仿宋" w:hAnsi="仿宋"/>
          <w:szCs w:val="28"/>
        </w:rPr>
        <mc:AlternateContent>
          <mc:Choice Requires="wps">
            <w:drawing>
              <wp:anchor distT="0" distB="0" distL="114300" distR="114300" simplePos="0" relativeHeight="251684864" behindDoc="0" locked="0" layoutInCell="1" allowOverlap="1">
                <wp:simplePos x="0" y="0"/>
                <wp:positionH relativeFrom="column">
                  <wp:posOffset>0</wp:posOffset>
                </wp:positionH>
                <wp:positionV relativeFrom="paragraph">
                  <wp:posOffset>90805</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pt;margin-top:7.15pt;height:0pt;width:442.2pt;z-index:251684864;mso-width-relative:page;mso-height-relative:page;" filled="f" stroked="t" coordsize="21600,21600" o:gfxdata="UEsDBAoAAAAAAIdO4kAAAAAAAAAAAAAAAAAEAAAAZHJzL1BLAwQUAAAACACHTuJAJh6kudUAAAAG&#10;AQAADwAAAGRycy9kb3ducmV2LnhtbE2PzU7DMBCE70i8g7VI3KjTEoEV4vQAqioQl7ZIXLfJEgfi&#10;dRq7P7w9iziU48ysZr4t5yffqwONsQtsYTrJQBHXoem4tfC2WdwYUDEhN9gHJgvfFGFeXV6UWDTh&#10;yCs6rFOrpIRjgRZcSkOhdawdeYyTMBBL9hFGj0nk2OpmxKOU+17PsuxOe+xYFhwO9Oio/lrvvQV8&#10;Wq7Su5m93HfP7vVzs9gtndlZe301zR5AJTql8zH84gs6VMK0DXtuouotyCNJ3PwWlKTG5Dmo7Z+h&#10;q1L/x69+AFBLAwQUAAAACACHTuJASIu+oMkBAABdAwAADgAAAGRycy9lMm9Eb2MueG1srVPNjtMw&#10;EL4j8Q6W7zRpxC4QNd1DV8tlgUq7PMDUcRoL22PZbpO+BC+AxA1OHLnzNiyPwdj92V24IXIYxZ6Z&#10;z9/3jT27GI1mW+mDQtvw6aTkTFqBrbLrhr+/vXr2krMQwbag0cqG72TgF/OnT2aDq2WFPepWekYg&#10;NtSDa3gfo6uLIoheGggTdNJSskNvINLSr4vWw0DoRhdVWZ4XA/rWeRQyBNq93Cf5PON3nRTxXdcF&#10;GZluOHGLOfocVykW8xnUaw+uV+JAA/6BhQFl6dAT1CVEYBuv/oIySngM2MWJQFNg1ykhswZSMy3/&#10;UHPTg5NZC5kT3Mmm8P9gxdvt0jPVNrzizIKhEd19+v7z45dfPz5TvPv2lVXJpMGFmmoXdumTTDHa&#10;G3eN4kNgFhc92LXMZG93jhCmqaN41JIWwdFRq+ENtlQDm4jZsbHzJkGSF2zMg9mdBiPHyARtnp1P&#10;z149p/mJY66A+tjofIivJRqWfhqulU2eQQ3b6xATEaiPJWnb4pXSOs9dWzYQ2+pFWeaOgFq1KZvq&#10;gl+vFtqzLaSrk78sizIPyzxubLs/RduD6iR0b9kK293SH92gGWY6h/uWLsnDde6+fxX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YepLnVAAAABgEAAA8AAAAAAAAAAQAgAAAAIgAAAGRycy9kb3du&#10;cmV2LnhtbFBLAQIUABQAAAAIAIdO4kBIi76gyQEAAF0DAAAOAAAAAAAAAAEAIAAAACQBAABkcnMv&#10;ZTJvRG9jLnhtbFBLBQYAAAAABgAGAFkBAABfBQAAAAA=&#10;">
                <v:fill on="f" focussize="0,0"/>
                <v:stroke weight="1pt" color="#000000" joinstyle="round"/>
                <v:imagedata o:title=""/>
                <o:lock v:ext="edit" aspectratio="f"/>
              </v:line>
            </w:pict>
          </mc:Fallback>
        </mc:AlternateContent>
      </w:r>
      <w:r>
        <w:rPr>
          <w:szCs w:val="28"/>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399415</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0pt;margin-top:31.45pt;height:0pt;width:442.2pt;z-index:251683840;mso-width-relative:page;mso-height-relative:page;" filled="f" stroked="t" coordsize="21600,21600" o:gfxdata="UEsDBAoAAAAAAIdO4kAAAAAAAAAAAAAAAAAEAAAAZHJzL1BLAwQUAAAACACHTuJAdoPfCtYAAAAG&#10;AQAADwAAAGRycy9kb3ducmV2LnhtbE2PzU7DMBCE75X6DtYicWudRlUxIU4PRVUF4tIWies2XuJA&#10;vE5j94e3x4gDHHdmNPNtuby6TpxpCK1nDbNpBoK49qblRsPrfj1RIEJENth5Jg1fFGBZjUclFsZf&#10;eEvnXWxEKuFQoAYbY19IGWpLDsPU98TJe/eDw5jOoZFmwEsqd53Ms2whHbacFiz2tLJUf+5OTgM+&#10;brbxTeXPd+2TffnYr48bq45a397MsgcQka7xLww/+AkdqsR08Cc2QXQa0iNRwyK/B5FcpeZzEIdf&#10;QVal/I9ffQNQSwMEFAAAAAgAh07iQA6epCHIAQAAXQMAAA4AAABkcnMvZTJvRG9jLnhtbK1TwY7T&#10;MBC9I/EPlu80acUuEDXdQ1fLZYFKu3yAazuNhe2xxm6T/gQ/gMQNThy58zcsn8HY3RYWbogcRvHM&#10;m5eZ95z5xegs22mMBnzLp5OaM+0lKOM3LX97e/XkOWcxCa+EBa9bvteRXyweP5oPodEz6MEqjYxI&#10;fGyG0PI+pdBUVZS9diJOIGhPxQ7QiURH3FQKxUDszlazuj6vBkAVEKSOkbKXhyJfFP6u0zK96bqo&#10;E7Mtp9lSiVjiOsdqMRfNBkXojbwfQ/zDFE4YTx89UV2KJNgWzV9UzkiECF2aSHAVdJ2RuuxA20zr&#10;P7a56UXQZRcSJ4aTTPH/0crXuxUyo8g7zrxwZNHdh6/f33/68e0jxbsvn9k0izSE2BB26VeY15Sj&#10;vwnXIN9F5mHZC7/RZdjbfSCG0lE9aMmHGOhT6+EVKMKIbYKi2Nihy5SkBRuLMfuTMXpMTFLy7Hx6&#10;9uIp+SePtUo0x8aAMb3U4Fh+abk1PmsmGrG7jolGJ+gRktMeroy1xXfr2UDTzp7VdemIYI3K1YyL&#10;uFkvLbKdyFenPFkIYnsAQ9h6dchbT+XjogfJ1qD2K8zlnCcPC8H9fcuX5PdzQf36KxY/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HaD3wrWAAAABgEAAA8AAAAAAAAAAQAgAAAAIgAAAGRycy9kb3du&#10;cmV2LnhtbFBLAQIUABQAAAAIAIdO4kAOnqQhyAEAAF0DAAAOAAAAAAAAAAEAIAAAACUBAABkcnMv&#10;ZTJvRG9jLnhtbFBLBQYAAAAABgAGAFkBAABfBQAAAAA=&#10;">
                <v:fill on="f" focussize="0,0"/>
                <v:stroke weight="1pt" color="#000000" joinstyle="round"/>
                <v:imagedata o:title=""/>
                <o:lock v:ext="edit" aspectratio="f"/>
              </v:line>
            </w:pict>
          </mc:Fallback>
        </mc:AlternateContent>
      </w:r>
      <w:r>
        <w:rPr>
          <w:rFonts w:hint="eastAsia" w:ascii="仿宋" w:hAnsi="仿宋"/>
          <w:szCs w:val="28"/>
        </w:rPr>
        <w:t>中国政法大学学校办公室    不予公开    2019年</w:t>
      </w:r>
      <w:r>
        <w:rPr>
          <w:rFonts w:hint="eastAsia" w:ascii="仿宋" w:hAnsi="仿宋"/>
          <w:szCs w:val="28"/>
          <w:lang w:val="en-US" w:eastAsia="zh-CN"/>
        </w:rPr>
        <w:t>10</w:t>
      </w:r>
      <w:r>
        <w:rPr>
          <w:rFonts w:hint="eastAsia" w:ascii="仿宋" w:hAnsi="仿宋"/>
          <w:szCs w:val="28"/>
        </w:rPr>
        <w:t>月2</w:t>
      </w:r>
      <w:r>
        <w:rPr>
          <w:rFonts w:hint="eastAsia" w:ascii="仿宋" w:hAnsi="仿宋"/>
          <w:szCs w:val="28"/>
          <w:lang w:val="en-US" w:eastAsia="zh-CN"/>
        </w:rPr>
        <w:t>8</w:t>
      </w:r>
      <w:r>
        <w:rPr>
          <w:rFonts w:hint="eastAsia" w:ascii="仿宋" w:hAnsi="仿宋"/>
          <w:szCs w:val="28"/>
        </w:rPr>
        <w:t>日印发</w:t>
      </w:r>
    </w:p>
    <w:p>
      <w:pPr>
        <w:keepNext w:val="0"/>
        <w:keepLines w:val="0"/>
        <w:pageBreakBefore w:val="0"/>
        <w:widowControl w:val="0"/>
        <w:kinsoku/>
        <w:wordWrap w:val="0"/>
        <w:overflowPunct/>
        <w:topLinePunct w:val="0"/>
        <w:autoSpaceDE/>
        <w:autoSpaceDN/>
        <w:bidi w:val="0"/>
        <w:adjustRightInd/>
        <w:snapToGrid/>
        <w:spacing w:line="460" w:lineRule="exact"/>
        <w:ind w:firstLine="960" w:firstLineChars="300"/>
        <w:jc w:val="right"/>
        <w:textAlignment w:val="auto"/>
        <w:rPr>
          <w:rFonts w:hint="default" w:ascii="仿宋" w:hAnsi="仿宋"/>
          <w:sz w:val="32"/>
          <w:szCs w:val="32"/>
          <w:lang w:val="en-US" w:eastAsia="zh-CN"/>
        </w:rPr>
      </w:pPr>
      <w:r>
        <w:rPr>
          <w:rFonts w:hint="eastAsia" w:ascii="仿宋" w:hAnsi="仿宋"/>
          <w:sz w:val="32"/>
          <w:szCs w:val="32"/>
          <w:lang w:val="en-US" w:eastAsia="zh-CN"/>
        </w:rPr>
        <w:t xml:space="preserve">    </w:t>
      </w:r>
    </w:p>
    <w:p>
      <w:pPr>
        <w:spacing w:line="520" w:lineRule="exact"/>
        <w:jc w:val="both"/>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p>
    <w:p>
      <w:pPr>
        <w:spacing w:line="520" w:lineRule="exact"/>
        <w:jc w:val="both"/>
        <w:rPr>
          <w:rFonts w:hint="eastAsia" w:ascii="黑体" w:hAnsi="黑体" w:eastAsia="黑体" w:cs="黑体"/>
          <w:kern w:val="0"/>
          <w:sz w:val="32"/>
          <w:szCs w:val="32"/>
          <w:lang w:eastAsia="zh-CN"/>
        </w:rPr>
      </w:pPr>
    </w:p>
    <w:p>
      <w:pPr>
        <w:spacing w:line="520" w:lineRule="exact"/>
        <w:jc w:val="both"/>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rPr>
        <w:t>中国政法大学</w:t>
      </w:r>
      <w:r>
        <w:rPr>
          <w:rFonts w:hint="eastAsia" w:ascii="方正小标宋简体" w:hAnsi="宋体" w:eastAsia="方正小标宋简体" w:cs="宋体"/>
          <w:kern w:val="0"/>
          <w:sz w:val="44"/>
          <w:szCs w:val="44"/>
          <w:lang w:val="en-US" w:eastAsia="zh-CN"/>
        </w:rPr>
        <w:t>2</w:t>
      </w:r>
      <w:r>
        <w:rPr>
          <w:rFonts w:hint="eastAsia" w:ascii="方正小标宋简体" w:hAnsi="仿宋" w:eastAsia="方正小标宋简体"/>
          <w:sz w:val="44"/>
          <w:szCs w:val="44"/>
          <w:lang w:val="en-US" w:eastAsia="zh-CN"/>
        </w:rPr>
        <w:t>018—</w:t>
      </w:r>
      <w:r>
        <w:rPr>
          <w:rFonts w:hint="eastAsia" w:ascii="方正小标宋简体" w:hAnsi="仿宋" w:eastAsia="方正小标宋简体"/>
          <w:sz w:val="44"/>
          <w:szCs w:val="44"/>
        </w:rPr>
        <w:t>201</w:t>
      </w:r>
      <w:r>
        <w:rPr>
          <w:rFonts w:hint="eastAsia" w:ascii="方正小标宋简体" w:hAnsi="仿宋" w:eastAsia="方正小标宋简体"/>
          <w:sz w:val="44"/>
          <w:szCs w:val="44"/>
          <w:lang w:val="en-US" w:eastAsia="zh-CN"/>
        </w:rPr>
        <w:t>9学</w:t>
      </w:r>
      <w:r>
        <w:rPr>
          <w:rFonts w:hint="eastAsia" w:ascii="方正小标宋简体" w:hAnsi="仿宋" w:eastAsia="方正小标宋简体"/>
          <w:sz w:val="44"/>
          <w:szCs w:val="44"/>
        </w:rPr>
        <w:t>年信息公开报告</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本年度报告是根据《政府信息公开条例》</w:t>
      </w:r>
      <w:r>
        <w:rPr>
          <w:rFonts w:hint="eastAsia" w:ascii="仿宋" w:hAnsi="仿宋" w:eastAsia="仿宋"/>
          <w:sz w:val="32"/>
          <w:szCs w:val="32"/>
          <w:lang w:eastAsia="zh-CN"/>
        </w:rPr>
        <w:t>（</w:t>
      </w:r>
      <w:r>
        <w:rPr>
          <w:rFonts w:hint="eastAsia" w:ascii="仿宋" w:hAnsi="仿宋" w:eastAsia="仿宋"/>
          <w:sz w:val="32"/>
          <w:szCs w:val="32"/>
          <w:lang w:val="en-US" w:eastAsia="zh-CN"/>
        </w:rPr>
        <w:t>2019年修订</w:t>
      </w:r>
      <w:r>
        <w:rPr>
          <w:rFonts w:hint="eastAsia" w:ascii="仿宋" w:hAnsi="仿宋" w:eastAsia="仿宋"/>
          <w:sz w:val="32"/>
          <w:szCs w:val="32"/>
          <w:lang w:eastAsia="zh-CN"/>
        </w:rPr>
        <w:t>）</w:t>
      </w:r>
      <w:r>
        <w:rPr>
          <w:rFonts w:hint="eastAsia" w:ascii="仿宋" w:hAnsi="仿宋" w:eastAsia="仿宋"/>
          <w:sz w:val="32"/>
          <w:szCs w:val="32"/>
        </w:rPr>
        <w:t>《高等学校信息公开办法》《教育部关于公布&lt;高等学校信息公开事项清单&gt;的通知》要求，由中国政法大学编制。全文包括学校情况概述、主动公开情况、依申请公开和不予公开情况、信息公开评议情况、信息公开投诉情况、信息公开工作的主要经验及存在的问题和改进措施、其他需要报告的事项和清单事项公开情况表</w:t>
      </w:r>
      <w:r>
        <w:rPr>
          <w:rFonts w:hint="eastAsia" w:ascii="仿宋" w:hAnsi="仿宋" w:eastAsia="仿宋"/>
          <w:sz w:val="32"/>
          <w:szCs w:val="32"/>
          <w:lang w:eastAsia="zh-CN"/>
        </w:rPr>
        <w:t>等</w:t>
      </w:r>
      <w:r>
        <w:rPr>
          <w:rFonts w:hint="eastAsia" w:ascii="仿宋" w:hAnsi="仿宋" w:eastAsia="仿宋"/>
          <w:sz w:val="32"/>
          <w:szCs w:val="32"/>
        </w:rPr>
        <w:t>8个部分。本年度报告中所列数据的统计期限为201</w:t>
      </w:r>
      <w:r>
        <w:rPr>
          <w:rFonts w:hint="eastAsia" w:ascii="仿宋" w:hAnsi="仿宋" w:eastAsia="仿宋"/>
          <w:sz w:val="32"/>
          <w:szCs w:val="32"/>
          <w:lang w:val="en-US" w:eastAsia="zh-CN"/>
        </w:rPr>
        <w:t>8</w:t>
      </w:r>
      <w:r>
        <w:rPr>
          <w:rFonts w:hint="eastAsia" w:ascii="仿宋" w:hAnsi="仿宋" w:eastAsia="仿宋"/>
          <w:sz w:val="32"/>
          <w:szCs w:val="32"/>
        </w:rPr>
        <w:t>年9月1日至201</w:t>
      </w:r>
      <w:r>
        <w:rPr>
          <w:rFonts w:hint="eastAsia" w:ascii="仿宋" w:hAnsi="仿宋" w:eastAsia="仿宋"/>
          <w:sz w:val="32"/>
          <w:szCs w:val="32"/>
          <w:lang w:val="en-US" w:eastAsia="zh-CN"/>
        </w:rPr>
        <w:t>9</w:t>
      </w:r>
      <w:r>
        <w:rPr>
          <w:rFonts w:hint="eastAsia" w:ascii="仿宋" w:hAnsi="仿宋" w:eastAsia="仿宋"/>
          <w:sz w:val="32"/>
          <w:szCs w:val="32"/>
        </w:rPr>
        <w:t>年8月31日。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0"/>
        <w:rPr>
          <w:rFonts w:hint="eastAsia" w:ascii="黑体" w:hAnsi="黑体" w:eastAsia="黑体"/>
          <w:sz w:val="32"/>
          <w:szCs w:val="32"/>
        </w:rPr>
      </w:pPr>
      <w:r>
        <w:rPr>
          <w:rFonts w:hint="eastAsia" w:ascii="黑体" w:hAnsi="黑体" w:eastAsia="黑体"/>
          <w:sz w:val="32"/>
          <w:szCs w:val="32"/>
        </w:rPr>
        <w:t>一、情况概述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2018-2019学年，学校坚持以习近平新时代中国特色社会主义思想为指导，全面贯彻党的十九大精神，深入贯彻全国教育大会精神、习近平总书记考察我校重要讲话精神和向我校青年学生勉励寄语精神等，按照党中央、国务院关于政务公开工作的决策部署和教育部推进教育公开的总体安排，秉承“学术立校、人才强校、质量兴校、特色办校、依法治校”的办学理念，坚持“公开为常态、不公开为例外”，遵循公正、公平、合法、便民的原则，强化管理服务理念，积极回应师生关切，学校信息公开工作迈向新台阶。</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坚持依法治校，信息公开工作促进民主管理监督</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学校深入学习贯彻落实全国教育大会精神、习近平总书记考察我校重要讲话精神和向我校青年学生勉励寄语精神，坚持定期向党委常委会汇报习近平总书记考察我校重要讲话精神贯彻落实情况，制定192项任务清单工作台账，建立“挂账明责”的工作机制。本年度，共发布《贯彻落实习近平考察我校重要讲话精神情况通报》3期，《关于“创新发展中国特色社会主义法治理论体系研究”课题督办情况的通报》1期，及时发布重要任务清单完成情况。改革学校督办工作机制，遵循“依规督办、突出重点、挂账明责、严格时限、强调质效”的基本原则，加大对学校重大决策、重要工作部署的公开力度，监督上级决策部署、交办任务和学校党政工作及时、全面、准确地贯彻落实。本年度，共发布《中国政法大学月度督办情况通报》10期、《中国政法大学关于落实与首都体育学院战略合作框架协议情况通报》等各类专项督办情况通报。及时跟进学校党政会议报道，公开教育部党组巡视工作公告、常委会讨论巡视整改方案等新闻报道，保障师生知情权，促进民主管理和监督。注重对热点问题的解读回应，发布《中国政法大学建设一流本科教育行动方案》解读、《中国政法大学合同管理办法（试行）》《中国政法大学投诉建议处理办法（试行）》《中国政法大学督办工作办法（修订稿）》答记者问等新政策宣讲，方便广大师生员工深入了解各项措施，不断加强依法治校水平。</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center"/>
        <w:textAlignment w:val="auto"/>
        <w:rPr>
          <w:rFonts w:hint="eastAsia" w:ascii="楷体" w:hAnsi="楷体" w:eastAsia="楷体" w:cs="楷体"/>
          <w:sz w:val="24"/>
          <w:szCs w:val="24"/>
          <w:lang w:val="en-US" w:eastAsia="zh-CN"/>
        </w:rPr>
      </w:pPr>
      <w:r>
        <w:rPr>
          <w:rFonts w:hint="eastAsia" w:ascii="仿宋" w:hAnsi="仿宋" w:eastAsia="仿宋"/>
          <w:sz w:val="24"/>
          <w:szCs w:val="24"/>
          <w:lang w:val="en-US" w:eastAsia="zh-CN"/>
        </w:rPr>
        <w:drawing>
          <wp:anchor distT="0" distB="0" distL="114300" distR="114300" simplePos="0" relativeHeight="251661312" behindDoc="0" locked="0" layoutInCell="1" allowOverlap="1">
            <wp:simplePos x="0" y="0"/>
            <wp:positionH relativeFrom="column">
              <wp:posOffset>208915</wp:posOffset>
            </wp:positionH>
            <wp:positionV relativeFrom="paragraph">
              <wp:posOffset>156845</wp:posOffset>
            </wp:positionV>
            <wp:extent cx="5331460" cy="2705735"/>
            <wp:effectExtent l="0" t="0" r="2540" b="18415"/>
            <wp:wrapTopAndBottom/>
            <wp:docPr id="9" name="图片 1" descr="a9fc60401c6480c1892874be3a1be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a9fc60401c6480c1892874be3a1bebb"/>
                    <pic:cNvPicPr>
                      <a:picLocks noChangeAspect="1"/>
                    </pic:cNvPicPr>
                  </pic:nvPicPr>
                  <pic:blipFill>
                    <a:blip r:embed="rId10"/>
                    <a:stretch>
                      <a:fillRect/>
                    </a:stretch>
                  </pic:blipFill>
                  <pic:spPr>
                    <a:xfrm>
                      <a:off x="0" y="0"/>
                      <a:ext cx="5331460" cy="2705735"/>
                    </a:xfrm>
                    <a:prstGeom prst="rect">
                      <a:avLst/>
                    </a:prstGeom>
                    <a:noFill/>
                    <a:ln>
                      <a:noFill/>
                    </a:ln>
                  </pic:spPr>
                </pic:pic>
              </a:graphicData>
            </a:graphic>
          </wp:anchor>
        </w:drawing>
      </w:r>
      <w:r>
        <w:rPr>
          <w:rFonts w:hint="eastAsia" w:ascii="楷体" w:hAnsi="楷体" w:eastAsia="楷体" w:cs="楷体"/>
          <w:sz w:val="24"/>
          <w:szCs w:val="24"/>
          <w:lang w:val="en-US" w:eastAsia="zh-CN"/>
        </w:rPr>
        <w:t>图1：中国政法大学信息公开网站“政策解读”专栏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（二）强化服务理念，信息公开工作积极回应师生关切</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本年度，学校完善投诉建议机制，畅通师生诉求渠道，整合分散在各部门的各类反映问题渠道和信息公开需求，完善学校内部治理结构，全面推进依法治校。出台《中国政法大学投诉建议处理办法（试行）》，在校园网主页设置投诉建议专栏，及时反馈和解决师生投诉事项，以公开、透明、交互的方式，积极回应师生关切，彰显学校管理服务的公信力。通过处理信息公开、网上投诉建设等，及时处理师生关切，维护师生权益，接受群众监督，保障按时答复率100%，努力做到“师生有所呼，学校有所应”。升级网上行政办公系统，实现全校师生利用移动终端办事，提升师生员工获取所需信息的快捷性。创新服务模式，大力建设教师聘期考核和年度教学考核“一张表”，通过优化流程、部门协作和数据共享，便于教职工实时查看与核实相关考核项的信息。完成统一通讯平台的建设，便捷各部门以短信、微信、邮件形式为全校师生发送各类消息、通知等服务，目前17个部门已开始使用平台，为广大师生提供集通讯、查询和应用于一体的精准便捷、安全高效的个性化信息服务平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jc w:val="center"/>
        <w:textAlignment w:val="auto"/>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drawing>
          <wp:anchor distT="0" distB="0" distL="114300" distR="114300" simplePos="0" relativeHeight="251662336" behindDoc="0" locked="0" layoutInCell="1" allowOverlap="1">
            <wp:simplePos x="0" y="0"/>
            <wp:positionH relativeFrom="column">
              <wp:posOffset>155575</wp:posOffset>
            </wp:positionH>
            <wp:positionV relativeFrom="paragraph">
              <wp:posOffset>220980</wp:posOffset>
            </wp:positionV>
            <wp:extent cx="5472430" cy="3165475"/>
            <wp:effectExtent l="0" t="0" r="13970" b="15875"/>
            <wp:wrapTopAndBottom/>
            <wp:docPr id="14" name="图片 2" descr="30a752251ff8fb91e8292a45f32ae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30a752251ff8fb91e8292a45f32ae42"/>
                    <pic:cNvPicPr>
                      <a:picLocks noChangeAspect="1"/>
                    </pic:cNvPicPr>
                  </pic:nvPicPr>
                  <pic:blipFill>
                    <a:blip r:embed="rId11"/>
                    <a:stretch>
                      <a:fillRect/>
                    </a:stretch>
                  </pic:blipFill>
                  <pic:spPr>
                    <a:xfrm>
                      <a:off x="0" y="0"/>
                      <a:ext cx="5472430" cy="3165475"/>
                    </a:xfrm>
                    <a:prstGeom prst="rect">
                      <a:avLst/>
                    </a:prstGeom>
                    <a:noFill/>
                    <a:ln>
                      <a:noFill/>
                    </a:ln>
                  </pic:spPr>
                </pic:pic>
              </a:graphicData>
            </a:graphic>
          </wp:anchor>
        </w:drawing>
      </w:r>
      <w:r>
        <w:rPr>
          <w:rFonts w:hint="eastAsia" w:ascii="楷体" w:hAnsi="楷体" w:eastAsia="楷体" w:cs="楷体"/>
          <w:sz w:val="24"/>
          <w:szCs w:val="24"/>
          <w:lang w:val="en-US" w:eastAsia="zh-CN"/>
        </w:rPr>
        <w:t>图2：中国政法大学网上投诉建议专栏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（三）汇集社情民意，信息公开工作服务科学民主决策</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加强对信息公开事项的综合分析，对社会关注、师生员工反映的普遍性、政策性问题进行分析研究，提出意见建议，定期形成报告供校领导和相关部门决策参考。坚持校领导接待日制度，做好校领导定期联系、接待干部师生来访工作，加强和改进领导干部深入基层联系学生工作方案，保障干部师生与校领导面对面交流，及时反馈和解决合理合法诉求。修订议事规则，完善各类代表列席学校决策会议制度，使广大师生参与到学校事业决策中，充分了解学校办学情况和发展规划。落实教代会代表日制度，发挥教代会代表作用，拓宽建言献策渠道，保障教代会代表权利行使，增强学校决策的科学化、民主化和针对性。将信息公开情况、投诉建议办理情况纳入学校《月度督办情况通报》进行专项通报，督促牵头部门按时高效办理，提高师生对学校各项改革举措的认同感和满意度。本年度，结合处级领导班子任期目标责任制，统计各部门办理信息公开情况、投诉建议事项情况，将作为年度考核的重要依据。</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drawing>
          <wp:anchor distT="0" distB="0" distL="114300" distR="114300" simplePos="0" relativeHeight="251663360" behindDoc="0" locked="0" layoutInCell="1" allowOverlap="1">
            <wp:simplePos x="0" y="0"/>
            <wp:positionH relativeFrom="column">
              <wp:posOffset>154305</wp:posOffset>
            </wp:positionH>
            <wp:positionV relativeFrom="paragraph">
              <wp:posOffset>198755</wp:posOffset>
            </wp:positionV>
            <wp:extent cx="5226050" cy="3865245"/>
            <wp:effectExtent l="0" t="0" r="12700" b="1905"/>
            <wp:wrapTopAndBottom/>
            <wp:docPr id="13" name="图片 3" descr="1726b9cdf710704ebe68efac639ee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1726b9cdf710704ebe68efac639eeee"/>
                    <pic:cNvPicPr>
                      <a:picLocks noChangeAspect="1"/>
                    </pic:cNvPicPr>
                  </pic:nvPicPr>
                  <pic:blipFill>
                    <a:blip r:embed="rId12"/>
                    <a:stretch>
                      <a:fillRect/>
                    </a:stretch>
                  </pic:blipFill>
                  <pic:spPr>
                    <a:xfrm>
                      <a:off x="0" y="0"/>
                      <a:ext cx="5226050" cy="3865245"/>
                    </a:xfrm>
                    <a:prstGeom prst="rect">
                      <a:avLst/>
                    </a:prstGeom>
                    <a:noFill/>
                    <a:ln>
                      <a:noFill/>
                    </a:ln>
                  </pic:spPr>
                </pic:pic>
              </a:graphicData>
            </a:graphic>
          </wp:anchor>
        </w:drawing>
      </w:r>
      <w:r>
        <w:rPr>
          <w:rFonts w:hint="eastAsia" w:ascii="楷体" w:hAnsi="楷体" w:eastAsia="楷体" w:cs="楷体"/>
          <w:sz w:val="24"/>
          <w:szCs w:val="24"/>
          <w:lang w:val="en-US" w:eastAsia="zh-CN"/>
        </w:rPr>
        <w:t>图3：中国政法大学督办情况通报</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ascii="楷体" w:hAnsi="楷体" w:eastAsia="楷体" w:cs="楷体"/>
          <w:color w:val="000000"/>
          <w:kern w:val="0"/>
          <w:sz w:val="32"/>
          <w:szCs w:val="32"/>
          <w:lang w:val="en-US" w:eastAsia="zh-CN" w:bidi="ar"/>
        </w:rPr>
      </w:pPr>
      <w:r>
        <w:rPr>
          <w:rFonts w:ascii="黑体" w:hAnsi="宋体" w:eastAsia="黑体" w:cs="黑体"/>
          <w:color w:val="000000"/>
          <w:kern w:val="0"/>
          <w:sz w:val="32"/>
          <w:szCs w:val="32"/>
          <w:lang w:val="en-US" w:eastAsia="zh-CN" w:bidi="ar"/>
        </w:rPr>
        <w:t>二、主动公开情况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ascii="楷体" w:hAnsi="楷体" w:eastAsia="楷体" w:cs="楷体"/>
          <w:color w:val="000000"/>
          <w:kern w:val="0"/>
          <w:sz w:val="32"/>
          <w:szCs w:val="32"/>
          <w:lang w:val="en-US" w:eastAsia="zh-CN" w:bidi="ar"/>
        </w:rPr>
        <w:t xml:space="preserve">（一）学校主动公开各类信息的方式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ascii="仿宋" w:hAnsi="仿宋" w:eastAsia="仿宋" w:cs="仿宋"/>
          <w:color w:val="000000"/>
          <w:kern w:val="0"/>
          <w:sz w:val="32"/>
          <w:szCs w:val="32"/>
          <w:lang w:val="en-US" w:eastAsia="zh-CN" w:bidi="ar"/>
        </w:rPr>
        <w:t>1.学校门户网站、</w:t>
      </w:r>
      <w:r>
        <w:rPr>
          <w:rFonts w:hint="eastAsia" w:ascii="仿宋" w:hAnsi="仿宋" w:eastAsia="仿宋" w:cs="仿宋"/>
          <w:color w:val="000000"/>
          <w:kern w:val="0"/>
          <w:sz w:val="32"/>
          <w:szCs w:val="32"/>
          <w:lang w:val="en-US" w:eastAsia="zh-CN" w:bidi="ar"/>
        </w:rPr>
        <w:t>智慧法大平台、</w:t>
      </w:r>
      <w:r>
        <w:rPr>
          <w:rFonts w:ascii="仿宋" w:hAnsi="仿宋" w:eastAsia="仿宋" w:cs="仿宋"/>
          <w:color w:val="000000"/>
          <w:kern w:val="0"/>
          <w:sz w:val="32"/>
          <w:szCs w:val="32"/>
          <w:lang w:val="en-US" w:eastAsia="zh-CN" w:bidi="ar"/>
        </w:rPr>
        <w:t>信息公开专栏、办公自动化系统、官方企</w:t>
      </w:r>
      <w:r>
        <w:rPr>
          <w:rFonts w:hint="eastAsia" w:ascii="仿宋" w:hAnsi="仿宋" w:eastAsia="仿宋" w:cs="仿宋"/>
          <w:color w:val="000000"/>
          <w:kern w:val="0"/>
          <w:sz w:val="32"/>
          <w:szCs w:val="32"/>
          <w:lang w:val="en-US" w:eastAsia="zh-CN" w:bidi="ar"/>
        </w:rPr>
        <w:t>业号、微博、微信、手机报以及各职能处室、各二级学院网站等网络形式；</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2.校报、年鉴、文件、学生手册、教师手册、统计报表等纸质资料；</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 xml:space="preserve">3.校园广播、电视、公告栏、电子屏幕、宣传橱窗等；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4.党委全委会、党委常委会、校长办公会、书记办公会、校长接待日、教代会、教代会代表接待日以及各类座谈会、情况通报会等会议形式；</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5.其他方式。</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sz w:val="32"/>
          <w:szCs w:val="32"/>
        </w:rPr>
      </w:pPr>
      <w:r>
        <w:rPr>
          <w:rFonts w:hint="eastAsia" w:ascii="楷体" w:hAnsi="楷体" w:eastAsia="楷体" w:cs="楷体"/>
          <w:color w:val="000000"/>
          <w:kern w:val="0"/>
          <w:sz w:val="32"/>
          <w:szCs w:val="32"/>
          <w:lang w:val="en-US" w:eastAsia="zh-CN" w:bidi="ar"/>
        </w:rPr>
        <w:t>（二）</w:t>
      </w:r>
      <w:r>
        <w:rPr>
          <w:rFonts w:hint="eastAsia" w:ascii="楷体" w:hAnsi="楷体" w:eastAsia="楷体" w:cs="楷体"/>
          <w:color w:val="000000"/>
          <w:kern w:val="0"/>
          <w:sz w:val="32"/>
          <w:szCs w:val="32"/>
          <w:highlight w:val="none"/>
          <w:lang w:val="en-US" w:eastAsia="zh-CN" w:bidi="ar"/>
        </w:rPr>
        <w:t>主动公开信息情况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2018年9月1日至2019年8月31日，学校主动公开各类信息共17767条</w:t>
      </w:r>
      <w:r>
        <w:rPr>
          <w:rFonts w:hint="eastAsia" w:ascii="仿宋" w:hAnsi="仿宋" w:eastAsia="仿宋" w:cs="仿宋"/>
          <w:color w:val="000000"/>
          <w:kern w:val="0"/>
          <w:sz w:val="32"/>
          <w:szCs w:val="32"/>
          <w:highlight w:val="none"/>
          <w:lang w:val="en-US" w:eastAsia="zh-CN" w:bidi="ar"/>
        </w:rPr>
        <w:t>。其中，信息公开网站公开学校信息270条；“智慧法大”发布校务公开348条，OA公告265条，校园网主页发布通知公告492条；通过各二级单位网站发布信息16392条（包括本科招生信息68条、研究生招生信息108条）。</w:t>
      </w:r>
      <w:r>
        <w:rPr>
          <w:rFonts w:hint="eastAsia" w:ascii="仿宋" w:hAnsi="仿宋" w:eastAsia="仿宋" w:cs="仿宋"/>
          <w:sz w:val="32"/>
          <w:szCs w:val="32"/>
          <w:lang w:eastAsia="zh-CN"/>
        </w:rPr>
        <w:t>发布心语露理论手机报17期；官方微博关注人数为179599人，共计发布117条，累积阅读量为1052.6万次，累计转发1688次，2182条，点赞15980个；</w:t>
      </w:r>
      <w:r>
        <w:rPr>
          <w:rFonts w:hint="eastAsia" w:ascii="仿宋" w:hAnsi="仿宋" w:eastAsia="仿宋" w:cs="仿宋"/>
          <w:sz w:val="32"/>
          <w:szCs w:val="32"/>
        </w:rPr>
        <w:t>官方微信关注人数为126700人，期间共计发布微信内容440条，累计阅读量为2427336次；新闻网共发布新闻1829条，法大人物专题5期，图说法大图集11期，专题网站12个，网上展厅5期，首页大图68张</w:t>
      </w:r>
      <w:r>
        <w:rPr>
          <w:rFonts w:hint="eastAsia" w:ascii="仿宋" w:hAnsi="仿宋" w:eastAsia="仿宋" w:cs="仿宋"/>
          <w:sz w:val="32"/>
          <w:szCs w:val="32"/>
          <w:lang w:eastAsia="zh-CN"/>
        </w:rPr>
        <w:t>；</w:t>
      </w:r>
      <w:r>
        <w:rPr>
          <w:rFonts w:hint="eastAsia" w:ascii="仿宋" w:hAnsi="仿宋" w:eastAsia="仿宋" w:cs="仿宋"/>
          <w:sz w:val="32"/>
          <w:szCs w:val="32"/>
        </w:rPr>
        <w:t>橱窗共计21期</w:t>
      </w:r>
      <w:r>
        <w:rPr>
          <w:rFonts w:hint="eastAsia" w:ascii="仿宋" w:hAnsi="仿宋" w:eastAsia="仿宋" w:cs="仿宋"/>
          <w:sz w:val="32"/>
          <w:szCs w:val="32"/>
          <w:lang w:eastAsia="zh-CN"/>
        </w:rPr>
        <w:t>，</w:t>
      </w:r>
      <w:r>
        <w:rPr>
          <w:rFonts w:hint="eastAsia" w:ascii="仿宋" w:hAnsi="仿宋" w:eastAsia="仿宋" w:cs="仿宋"/>
          <w:sz w:val="32"/>
          <w:szCs w:val="32"/>
        </w:rPr>
        <w:t>共计399版</w:t>
      </w:r>
      <w:r>
        <w:rPr>
          <w:rFonts w:hint="eastAsia" w:ascii="仿宋" w:hAnsi="仿宋" w:eastAsia="仿宋" w:cs="仿宋"/>
          <w:sz w:val="32"/>
          <w:szCs w:val="32"/>
          <w:lang w:eastAsia="zh-CN"/>
        </w:rPr>
        <w:t>，</w:t>
      </w:r>
      <w:r>
        <w:rPr>
          <w:rFonts w:hint="eastAsia" w:ascii="仿宋" w:hAnsi="仿宋" w:eastAsia="仿宋" w:cs="仿宋"/>
          <w:sz w:val="32"/>
          <w:szCs w:val="32"/>
        </w:rPr>
        <w:t>电子屏共计55期</w:t>
      </w:r>
      <w:r>
        <w:rPr>
          <w:rFonts w:hint="eastAsia" w:ascii="仿宋" w:hAnsi="仿宋" w:eastAsia="仿宋" w:cs="仿宋"/>
          <w:sz w:val="32"/>
          <w:szCs w:val="32"/>
          <w:lang w:eastAsia="zh-CN"/>
        </w:rPr>
        <w:t>，</w:t>
      </w:r>
      <w:r>
        <w:rPr>
          <w:rFonts w:hint="eastAsia" w:ascii="仿宋" w:hAnsi="仿宋" w:eastAsia="仿宋" w:cs="仿宋"/>
          <w:sz w:val="32"/>
          <w:szCs w:val="32"/>
        </w:rPr>
        <w:t>共计图文视频1652幅；</w:t>
      </w:r>
      <w:r>
        <w:rPr>
          <w:rFonts w:hint="eastAsia" w:ascii="仿宋" w:hAnsi="仿宋" w:eastAsia="仿宋" w:cs="仿宋"/>
          <w:sz w:val="32"/>
          <w:szCs w:val="32"/>
          <w:lang w:val="en-US" w:eastAsia="zh-CN"/>
        </w:rPr>
        <w:t>2019年4月开设学校官方</w:t>
      </w:r>
      <w:r>
        <w:rPr>
          <w:rFonts w:hint="eastAsia" w:ascii="仿宋" w:hAnsi="仿宋" w:eastAsia="仿宋" w:cs="仿宋"/>
          <w:sz w:val="32"/>
          <w:szCs w:val="32"/>
        </w:rPr>
        <w:t>抖音</w:t>
      </w:r>
      <w:r>
        <w:rPr>
          <w:rFonts w:hint="eastAsia" w:ascii="仿宋" w:hAnsi="仿宋" w:eastAsia="仿宋" w:cs="仿宋"/>
          <w:sz w:val="32"/>
          <w:szCs w:val="32"/>
          <w:lang w:eastAsia="zh-CN"/>
        </w:rPr>
        <w:t>，截止到</w:t>
      </w:r>
      <w:r>
        <w:rPr>
          <w:rFonts w:hint="eastAsia" w:ascii="仿宋" w:hAnsi="仿宋" w:eastAsia="仿宋" w:cs="仿宋"/>
          <w:sz w:val="32"/>
          <w:szCs w:val="32"/>
          <w:lang w:val="en-US" w:eastAsia="zh-CN"/>
        </w:rPr>
        <w:t>8月31日，</w:t>
      </w:r>
      <w:r>
        <w:rPr>
          <w:rFonts w:hint="eastAsia" w:ascii="仿宋" w:hAnsi="仿宋" w:eastAsia="仿宋" w:cs="仿宋"/>
          <w:sz w:val="32"/>
          <w:szCs w:val="32"/>
        </w:rPr>
        <w:t>关注人数为6.8万人，共计发布64条，累计播放量1014.1万次，累计点赞数达13.7万个；校报共发布32期，每期发行</w:t>
      </w:r>
      <w:r>
        <w:rPr>
          <w:rFonts w:hint="eastAsia" w:ascii="仿宋" w:hAnsi="仿宋" w:eastAsia="仿宋" w:cs="仿宋"/>
          <w:sz w:val="32"/>
          <w:szCs w:val="32"/>
          <w:lang w:val="en-US" w:eastAsia="zh-CN"/>
        </w:rPr>
        <w:t>3000</w:t>
      </w:r>
      <w:r>
        <w:rPr>
          <w:rFonts w:hint="eastAsia" w:ascii="仿宋" w:hAnsi="仿宋" w:eastAsia="仿宋" w:cs="仿宋"/>
          <w:sz w:val="32"/>
          <w:szCs w:val="32"/>
        </w:rPr>
        <w:t>张。</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4581525" cy="2924175"/>
            <wp:effectExtent l="0" t="0" r="9525" b="9525"/>
            <wp:docPr id="10" name="图片 1" descr="微信图片_20191022102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微信图片_20191022102436"/>
                    <pic:cNvPicPr>
                      <a:picLocks noChangeAspect="1"/>
                    </pic:cNvPicPr>
                  </pic:nvPicPr>
                  <pic:blipFill>
                    <a:blip r:embed="rId13"/>
                    <a:stretch>
                      <a:fillRect/>
                    </a:stretch>
                  </pic:blipFill>
                  <pic:spPr>
                    <a:xfrm>
                      <a:off x="0" y="0"/>
                      <a:ext cx="4581525" cy="292417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图4：主动公开情况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00" w:firstLineChars="200"/>
        <w:jc w:val="both"/>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学校共召开党委全委会1次、</w:t>
      </w:r>
      <w:r>
        <w:rPr>
          <w:rFonts w:hint="eastAsia" w:ascii="仿宋" w:hAnsi="仿宋" w:eastAsia="仿宋" w:cs="仿宋"/>
          <w:color w:val="auto"/>
          <w:sz w:val="30"/>
          <w:szCs w:val="30"/>
          <w:highlight w:val="none"/>
          <w:lang w:val="en-US" w:eastAsia="zh-CN"/>
        </w:rPr>
        <w:t>常委会31次、校长办公会18次、书记办公会3次，共有纪委委员和党委委员5人次、党代表22人次、教师代表17人次、教代会代表17人次参加会议，除固定代表外，学校在会</w:t>
      </w:r>
      <w:r>
        <w:rPr>
          <w:rFonts w:hint="eastAsia" w:ascii="仿宋" w:hAnsi="仿宋" w:eastAsia="仿宋" w:cs="仿宋"/>
          <w:sz w:val="30"/>
          <w:szCs w:val="30"/>
          <w:highlight w:val="none"/>
          <w:lang w:val="en-US" w:eastAsia="zh-CN"/>
        </w:rPr>
        <w:t>议中讨论重点决策时，通过召开扩大会议，让更多的教职员工参与到会议中，对学校的各项工作建言献策，主动参与到学校的各项决策中。</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sz w:val="32"/>
          <w:szCs w:val="32"/>
        </w:rPr>
      </w:pPr>
      <w:r>
        <w:rPr>
          <w:rFonts w:hint="eastAsia" w:ascii="楷体" w:hAnsi="楷体" w:eastAsia="楷体" w:cs="楷体"/>
          <w:color w:val="000000"/>
          <w:kern w:val="0"/>
          <w:sz w:val="32"/>
          <w:szCs w:val="32"/>
          <w:lang w:val="en-US" w:eastAsia="zh-CN" w:bidi="ar"/>
        </w:rPr>
        <w:t>（三）清单公开事项</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公开“学校信息”54条，主要包括校级领导班子简介及分工，学校章程及制定的各项规章制度，学术委员会相关制度、年度报告、学校发展规划、年度工作计划及重点工作安排、信息公开年度报告，学校机构设置、教师和专业技术人员数量。</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公开“招生考试信息”70条。本科生招生方面，除在学校网站和“中国政法大学本科招生信息网”“教育部阳光高考信息平台”“中国政法大学本科招生办公室”微信公众平台等渠道公开相关信息外，还在设置统一咨询电话基础上设置了分省、分专业咨询电话，用以解答各省考生关于学校志愿填报、招生政策、</w:t>
      </w:r>
      <w:r>
        <w:rPr>
          <w:rFonts w:hint="eastAsia" w:ascii="仿宋" w:hAnsi="仿宋" w:eastAsia="仿宋" w:cs="仿宋"/>
          <w:color w:val="000000"/>
          <w:kern w:val="0"/>
          <w:sz w:val="24"/>
          <w:szCs w:val="24"/>
          <w:lang w:val="en-US" w:eastAsia="zh-CN" w:bidi="ar"/>
        </w:rPr>
        <w:drawing>
          <wp:anchor distT="0" distB="0" distL="114300" distR="114300" simplePos="0" relativeHeight="251665408" behindDoc="0" locked="0" layoutInCell="1" allowOverlap="1">
            <wp:simplePos x="0" y="0"/>
            <wp:positionH relativeFrom="column">
              <wp:posOffset>118745</wp:posOffset>
            </wp:positionH>
            <wp:positionV relativeFrom="page">
              <wp:posOffset>4384675</wp:posOffset>
            </wp:positionV>
            <wp:extent cx="5429250" cy="3538855"/>
            <wp:effectExtent l="0" t="0" r="0" b="4445"/>
            <wp:wrapTopAndBottom/>
            <wp:docPr id="12" name="图片 7" descr="1571709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1571709409"/>
                    <pic:cNvPicPr>
                      <a:picLocks noChangeAspect="1"/>
                    </pic:cNvPicPr>
                  </pic:nvPicPr>
                  <pic:blipFill>
                    <a:blip r:embed="rId14"/>
                    <a:stretch>
                      <a:fillRect/>
                    </a:stretch>
                  </pic:blipFill>
                  <pic:spPr>
                    <a:xfrm>
                      <a:off x="0" y="0"/>
                      <a:ext cx="5429250" cy="3538855"/>
                    </a:xfrm>
                    <a:prstGeom prst="rect">
                      <a:avLst/>
                    </a:prstGeom>
                    <a:noFill/>
                    <a:ln>
                      <a:noFill/>
                    </a:ln>
                  </pic:spPr>
                </pic:pic>
              </a:graphicData>
            </a:graphic>
          </wp:anchor>
        </w:drawing>
      </w:r>
      <w:r>
        <w:rPr>
          <w:rFonts w:hint="eastAsia" w:ascii="仿宋" w:hAnsi="仿宋" w:eastAsia="仿宋" w:cs="仿宋"/>
          <w:color w:val="000000"/>
          <w:kern w:val="0"/>
          <w:sz w:val="32"/>
          <w:szCs w:val="32"/>
          <w:lang w:val="en-US" w:eastAsia="zh-CN" w:bidi="ar"/>
        </w:rPr>
        <w:t>各专业本科培养的问题。分省分专业咨询极大地加强了咨询的针对性，也提供了更多的咨询途径。分省分专业咨询电话共接受咨询15000余次。在特殊类型招生中，除在招生简章中明确相关信息外，还通过“中国政法大学本科招生信息网”和“教育部阳光高考信息平台”及时、准确公示合格考生相关信息，详细到姓名、性别等9项信息。本学年，学校网站和“中国政法大学本科招生信息网”共发布各类招生资讯、公示64条；“中国政法大学”“中国政法大学教务处”和“中国政法大学本科招生办公室”微信公众平台共推送各类资讯、公示近百条，累计点击率超过15万次。</w:t>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仿宋" w:hAnsi="仿宋" w:eastAsia="仿宋" w:cs="仿宋"/>
          <w:color w:val="000000"/>
          <w:kern w:val="0"/>
          <w:sz w:val="24"/>
          <w:szCs w:val="24"/>
          <w:lang w:val="en-US" w:eastAsia="zh-CN" w:bidi="ar"/>
        </w:rPr>
      </w:pPr>
      <w:r>
        <w:rPr>
          <w:rFonts w:hint="eastAsia" w:ascii="楷体" w:hAnsi="楷体" w:eastAsia="楷体" w:cs="楷体"/>
          <w:color w:val="auto"/>
          <w:sz w:val="24"/>
          <w:szCs w:val="24"/>
          <w:lang w:val="en-US" w:eastAsia="zh-CN"/>
        </w:rPr>
        <w:t>图5：</w:t>
      </w:r>
      <w:r>
        <w:rPr>
          <w:rFonts w:hint="eastAsia" w:ascii="楷体" w:hAnsi="楷体" w:eastAsia="楷体" w:cs="楷体"/>
          <w:sz w:val="24"/>
          <w:szCs w:val="24"/>
          <w:lang w:eastAsia="zh-CN"/>
        </w:rPr>
        <w:t>中国政法大学本科生招生网站</w:t>
      </w:r>
    </w:p>
    <w:p>
      <w:pPr>
        <w:keepNext w:val="0"/>
        <w:keepLines w:val="0"/>
        <w:pageBreakBefore w:val="0"/>
        <w:kinsoku/>
        <w:wordWrap/>
        <w:overflowPunct/>
        <w:topLinePunct w:val="0"/>
        <w:autoSpaceDE/>
        <w:autoSpaceDN/>
        <w:bidi w:val="0"/>
        <w:spacing w:line="48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rPr>
        <w:t>研究生招生</w:t>
      </w:r>
      <w:r>
        <w:rPr>
          <w:rFonts w:hint="eastAsia" w:ascii="仿宋" w:hAnsi="仿宋" w:eastAsia="仿宋"/>
          <w:color w:val="auto"/>
          <w:sz w:val="32"/>
          <w:szCs w:val="32"/>
          <w:lang w:eastAsia="zh-CN"/>
        </w:rPr>
        <w:t>方面</w:t>
      </w:r>
      <w:r>
        <w:rPr>
          <w:rFonts w:hint="eastAsia" w:ascii="仿宋" w:hAnsi="仿宋" w:eastAsia="仿宋"/>
          <w:color w:val="auto"/>
          <w:sz w:val="32"/>
          <w:szCs w:val="32"/>
        </w:rPr>
        <w:t>，</w:t>
      </w:r>
      <w:r>
        <w:rPr>
          <w:rFonts w:hint="eastAsia" w:ascii="仿宋" w:hAnsi="仿宋" w:eastAsia="仿宋"/>
          <w:color w:val="auto"/>
          <w:sz w:val="32"/>
          <w:szCs w:val="32"/>
          <w:lang w:eastAsia="zh-CN"/>
        </w:rPr>
        <w:t>学</w:t>
      </w:r>
      <w:r>
        <w:rPr>
          <w:rFonts w:hint="eastAsia" w:ascii="仿宋" w:hAnsi="仿宋" w:eastAsia="仿宋"/>
          <w:color w:val="auto"/>
          <w:sz w:val="32"/>
          <w:szCs w:val="32"/>
        </w:rPr>
        <w:t>校继续严格执行研究生招生录取信息公开的相关制度，确保研究生招生录取工作规范透明，增强招生录取工作公信力。及时发布招生章程及各专业招生计划、复试录取办法、调剂考生报名条件、生源余缺等信息，重点加强对进入复</w:t>
      </w:r>
      <w:r>
        <w:rPr>
          <w:rFonts w:hint="eastAsia" w:ascii="仿宋" w:hAnsi="仿宋" w:eastAsia="仿宋"/>
          <w:color w:val="auto"/>
          <w:sz w:val="24"/>
          <w:szCs w:val="24"/>
          <w:lang w:eastAsia="zh-CN"/>
        </w:rPr>
        <w:drawing>
          <wp:anchor distT="0" distB="0" distL="114300" distR="114300" simplePos="0" relativeHeight="251668480" behindDoc="0" locked="0" layoutInCell="1" allowOverlap="1">
            <wp:simplePos x="0" y="0"/>
            <wp:positionH relativeFrom="column">
              <wp:posOffset>90170</wp:posOffset>
            </wp:positionH>
            <wp:positionV relativeFrom="page">
              <wp:posOffset>3237865</wp:posOffset>
            </wp:positionV>
            <wp:extent cx="5531485" cy="3866515"/>
            <wp:effectExtent l="0" t="0" r="12065" b="635"/>
            <wp:wrapTopAndBottom/>
            <wp:docPr id="11" name="图片 8" descr="yanjiush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yanjiusheng"/>
                    <pic:cNvPicPr>
                      <a:picLocks noChangeAspect="1"/>
                    </pic:cNvPicPr>
                  </pic:nvPicPr>
                  <pic:blipFill>
                    <a:blip r:embed="rId15"/>
                    <a:stretch>
                      <a:fillRect/>
                    </a:stretch>
                  </pic:blipFill>
                  <pic:spPr>
                    <a:xfrm>
                      <a:off x="0" y="0"/>
                      <a:ext cx="5531485" cy="3866515"/>
                    </a:xfrm>
                    <a:prstGeom prst="rect">
                      <a:avLst/>
                    </a:prstGeom>
                    <a:noFill/>
                    <a:ln>
                      <a:noFill/>
                    </a:ln>
                  </pic:spPr>
                </pic:pic>
              </a:graphicData>
            </a:graphic>
          </wp:anchor>
        </w:drawing>
      </w:r>
      <w:r>
        <w:rPr>
          <w:rFonts w:hint="eastAsia" w:ascii="仿宋" w:hAnsi="仿宋" w:eastAsia="仿宋"/>
          <w:color w:val="auto"/>
          <w:sz w:val="32"/>
          <w:szCs w:val="32"/>
        </w:rPr>
        <w:t>试和拟录取人员的公示，除公布全部进入复试考生、拟录取考生的详细信息，包括考生姓名、考生编号、初试各科成绩等等，还对破格复试、专项计划、享受初试加分或照顾政策考生的相关情况进行详细的说明。2018-2019学年，共</w:t>
      </w:r>
      <w:r>
        <w:rPr>
          <w:rFonts w:ascii="仿宋" w:hAnsi="仿宋" w:eastAsia="仿宋"/>
          <w:color w:val="auto"/>
          <w:sz w:val="32"/>
          <w:szCs w:val="32"/>
        </w:rPr>
        <w:t>发布</w:t>
      </w:r>
      <w:r>
        <w:rPr>
          <w:rFonts w:hint="eastAsia" w:ascii="仿宋" w:hAnsi="仿宋" w:eastAsia="仿宋"/>
          <w:color w:val="auto"/>
          <w:sz w:val="32"/>
          <w:szCs w:val="32"/>
        </w:rPr>
        <w:t>研究生招生</w:t>
      </w:r>
      <w:r>
        <w:rPr>
          <w:rFonts w:ascii="仿宋" w:hAnsi="仿宋" w:eastAsia="仿宋"/>
          <w:color w:val="auto"/>
          <w:sz w:val="32"/>
          <w:szCs w:val="32"/>
        </w:rPr>
        <w:t>信息</w:t>
      </w:r>
      <w:r>
        <w:rPr>
          <w:rFonts w:hint="eastAsia" w:ascii="仿宋" w:hAnsi="仿宋" w:eastAsia="仿宋"/>
          <w:color w:val="auto"/>
          <w:sz w:val="32"/>
          <w:szCs w:val="32"/>
        </w:rPr>
        <w:t>108条，</w:t>
      </w:r>
      <w:r>
        <w:rPr>
          <w:rFonts w:ascii="仿宋" w:hAnsi="仿宋" w:eastAsia="仿宋"/>
          <w:color w:val="auto"/>
          <w:sz w:val="32"/>
          <w:szCs w:val="32"/>
        </w:rPr>
        <w:t>研究生招生微信公众号</w:t>
      </w:r>
      <w:r>
        <w:rPr>
          <w:rFonts w:hint="eastAsia" w:ascii="仿宋" w:hAnsi="仿宋" w:eastAsia="仿宋"/>
          <w:color w:val="auto"/>
          <w:sz w:val="32"/>
          <w:szCs w:val="32"/>
        </w:rPr>
        <w:t>共推送招生</w:t>
      </w:r>
      <w:r>
        <w:rPr>
          <w:rFonts w:ascii="仿宋" w:hAnsi="仿宋" w:eastAsia="仿宋"/>
          <w:color w:val="auto"/>
          <w:sz w:val="32"/>
          <w:szCs w:val="32"/>
        </w:rPr>
        <w:t>信息57</w:t>
      </w:r>
      <w:r>
        <w:rPr>
          <w:rFonts w:hint="eastAsia" w:ascii="仿宋" w:hAnsi="仿宋" w:eastAsia="仿宋"/>
          <w:color w:val="auto"/>
          <w:sz w:val="32"/>
          <w:szCs w:val="32"/>
        </w:rPr>
        <w:t>条，公众号关注人数增长</w:t>
      </w:r>
      <w:r>
        <w:rPr>
          <w:rFonts w:ascii="仿宋" w:hAnsi="仿宋" w:eastAsia="仿宋"/>
          <w:color w:val="auto"/>
          <w:sz w:val="32"/>
          <w:szCs w:val="32"/>
        </w:rPr>
        <w:t>10697</w:t>
      </w:r>
      <w:r>
        <w:rPr>
          <w:rFonts w:hint="eastAsia" w:ascii="仿宋" w:hAnsi="仿宋" w:eastAsia="仿宋"/>
          <w:color w:val="auto"/>
          <w:sz w:val="32"/>
          <w:szCs w:val="32"/>
        </w:rPr>
        <w:t>人，增幅</w:t>
      </w:r>
      <w:r>
        <w:rPr>
          <w:rFonts w:ascii="仿宋" w:hAnsi="仿宋" w:eastAsia="仿宋"/>
          <w:color w:val="auto"/>
          <w:sz w:val="32"/>
          <w:szCs w:val="32"/>
        </w:rPr>
        <w:t>21.9</w:t>
      </w:r>
      <w:r>
        <w:rPr>
          <w:rFonts w:hint="eastAsia" w:ascii="仿宋" w:hAnsi="仿宋" w:eastAsia="仿宋"/>
          <w:color w:val="auto"/>
          <w:sz w:val="32"/>
          <w:szCs w:val="32"/>
        </w:rPr>
        <w:t>%，关注总人数达</w:t>
      </w:r>
      <w:r>
        <w:rPr>
          <w:rFonts w:ascii="仿宋" w:hAnsi="仿宋" w:eastAsia="仿宋"/>
          <w:color w:val="auto"/>
          <w:sz w:val="32"/>
          <w:szCs w:val="32"/>
        </w:rPr>
        <w:t>59458</w:t>
      </w:r>
      <w:r>
        <w:rPr>
          <w:rFonts w:hint="eastAsia" w:ascii="仿宋" w:hAnsi="仿宋" w:eastAsia="仿宋"/>
          <w:color w:val="auto"/>
          <w:sz w:val="32"/>
          <w:szCs w:val="32"/>
        </w:rPr>
        <w:t>人。</w:t>
      </w:r>
    </w:p>
    <w:p>
      <w:pPr>
        <w:keepNext w:val="0"/>
        <w:keepLines w:val="0"/>
        <w:pageBreakBefore w:val="0"/>
        <w:kinsoku/>
        <w:wordWrap/>
        <w:overflowPunct/>
        <w:topLinePunct w:val="0"/>
        <w:autoSpaceDE/>
        <w:autoSpaceDN/>
        <w:bidi w:val="0"/>
        <w:adjustRightInd w:val="0"/>
        <w:snapToGrid w:val="0"/>
        <w:spacing w:line="480" w:lineRule="exact"/>
        <w:jc w:val="center"/>
        <w:textAlignment w:val="auto"/>
        <w:rPr>
          <w:rFonts w:hint="eastAsia" w:ascii="仿宋" w:hAnsi="仿宋" w:eastAsia="仿宋"/>
          <w:color w:val="auto"/>
          <w:sz w:val="24"/>
          <w:szCs w:val="24"/>
          <w:lang w:val="en-US" w:eastAsia="zh-CN"/>
        </w:rPr>
      </w:pPr>
      <w:r>
        <w:rPr>
          <w:rFonts w:hint="eastAsia" w:ascii="楷体" w:hAnsi="楷体" w:eastAsia="楷体" w:cs="楷体"/>
          <w:color w:val="auto"/>
          <w:sz w:val="24"/>
          <w:szCs w:val="24"/>
          <w:lang w:val="en-US" w:eastAsia="zh-CN"/>
        </w:rPr>
        <w:t>图6：</w:t>
      </w:r>
      <w:r>
        <w:rPr>
          <w:rFonts w:hint="eastAsia" w:ascii="楷体" w:hAnsi="楷体" w:eastAsia="楷体" w:cs="楷体"/>
          <w:sz w:val="24"/>
          <w:szCs w:val="24"/>
          <w:lang w:eastAsia="zh-CN"/>
        </w:rPr>
        <w:t>研究生招生公示情况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sz w:val="32"/>
          <w:szCs w:val="32"/>
          <w:lang w:eastAsia="zh-CN"/>
        </w:rPr>
        <w:t>本年度，</w:t>
      </w:r>
      <w:r>
        <w:rPr>
          <w:rFonts w:ascii="仿宋" w:hAnsi="仿宋" w:eastAsia="仿宋"/>
          <w:sz w:val="32"/>
          <w:szCs w:val="32"/>
        </w:rPr>
        <w:t>学校</w:t>
      </w:r>
      <w:r>
        <w:rPr>
          <w:rFonts w:hint="eastAsia" w:ascii="仿宋" w:hAnsi="仿宋" w:eastAsia="仿宋"/>
          <w:sz w:val="32"/>
          <w:szCs w:val="32"/>
          <w:lang w:eastAsia="zh-CN"/>
        </w:rPr>
        <w:t>新</w:t>
      </w:r>
      <w:r>
        <w:rPr>
          <w:rFonts w:ascii="仿宋" w:hAnsi="仿宋" w:eastAsia="仿宋"/>
          <w:sz w:val="32"/>
          <w:szCs w:val="32"/>
        </w:rPr>
        <w:t>上线“新生i问”校园人工智能问答系统</w:t>
      </w:r>
      <w:r>
        <w:rPr>
          <w:rFonts w:hint="eastAsia" w:ascii="仿宋" w:hAnsi="仿宋" w:eastAsia="仿宋"/>
          <w:sz w:val="32"/>
          <w:szCs w:val="32"/>
          <w:lang w:eastAsia="zh-CN"/>
        </w:rPr>
        <w:t>为新生发布更多信息。</w:t>
      </w:r>
      <w:r>
        <w:rPr>
          <w:rFonts w:ascii="仿宋" w:hAnsi="仿宋" w:eastAsia="仿宋"/>
          <w:sz w:val="32"/>
          <w:szCs w:val="32"/>
        </w:rPr>
        <w:t>新生通过向AI智能机器人进行有关开学报到等方面提问，即可得到详细解答，自8月14日开通</w:t>
      </w:r>
      <w:r>
        <w:rPr>
          <w:rFonts w:hint="eastAsia" w:ascii="仿宋" w:hAnsi="仿宋" w:eastAsia="仿宋"/>
          <w:sz w:val="32"/>
          <w:szCs w:val="32"/>
          <w:lang w:eastAsia="zh-CN"/>
        </w:rPr>
        <w:t>至开学报道前夕，已</w:t>
      </w:r>
      <w:r>
        <w:rPr>
          <w:rFonts w:ascii="仿宋" w:hAnsi="仿宋" w:eastAsia="仿宋"/>
          <w:sz w:val="32"/>
          <w:szCs w:val="32"/>
        </w:rPr>
        <w:t>有一万余次提问。</w:t>
      </w:r>
      <w:r>
        <w:rPr>
          <w:rFonts w:hint="eastAsia" w:ascii="仿宋" w:hAnsi="仿宋" w:eastAsia="仿宋"/>
          <w:sz w:val="32"/>
          <w:szCs w:val="32"/>
          <w:lang w:eastAsia="zh-CN"/>
        </w:rPr>
        <w:t>同时，</w:t>
      </w:r>
      <w:r>
        <w:rPr>
          <w:rFonts w:hint="eastAsia" w:ascii="仿宋" w:hAnsi="仿宋" w:eastAsia="仿宋"/>
          <w:sz w:val="32"/>
          <w:szCs w:val="32"/>
        </w:rPr>
        <w:t>学校官方微信公众平台、学生处微信公众平台、法大青年等校内新媒体</w:t>
      </w:r>
      <w:r>
        <w:rPr>
          <w:rFonts w:hint="eastAsia" w:ascii="仿宋" w:hAnsi="仿宋" w:eastAsia="仿宋"/>
          <w:sz w:val="32"/>
          <w:szCs w:val="32"/>
          <w:lang w:eastAsia="zh-CN"/>
        </w:rPr>
        <w:t>持续</w:t>
      </w:r>
      <w:r>
        <w:rPr>
          <w:rFonts w:hint="eastAsia" w:ascii="仿宋" w:hAnsi="仿宋" w:eastAsia="仿宋"/>
          <w:sz w:val="32"/>
          <w:szCs w:val="32"/>
        </w:rPr>
        <w:t>向新生及家长推出相关迎新信息，内容涵盖住宿环境、校园景观、分班查询功能、法大学习攻略、开学报到须知等，向新生全方位介绍学校概况，实时进行答疑解惑，帮助新生熟悉校园、结识师友，</w:t>
      </w:r>
      <w:r>
        <w:rPr>
          <w:rFonts w:hint="eastAsia" w:ascii="仿宋" w:hAnsi="仿宋" w:eastAsia="仿宋"/>
          <w:sz w:val="32"/>
          <w:szCs w:val="32"/>
          <w:lang w:eastAsia="zh-CN"/>
        </w:rPr>
        <w:t>为新生提供大量有用信息的同时，也</w:t>
      </w:r>
      <w:r>
        <w:rPr>
          <w:rFonts w:hint="eastAsia" w:ascii="仿宋" w:hAnsi="仿宋" w:eastAsia="仿宋"/>
          <w:sz w:val="32"/>
          <w:szCs w:val="32"/>
        </w:rPr>
        <w:t>达到了良好的传播和教育效果。</w:t>
      </w:r>
      <w:r>
        <w:rPr>
          <w:rFonts w:hint="eastAsia" w:ascii="仿宋" w:hAnsi="仿宋" w:eastAsia="仿宋"/>
          <w:sz w:val="32"/>
          <w:szCs w:val="32"/>
          <w:lang w:eastAsia="zh-CN"/>
        </w:rPr>
        <w:drawing>
          <wp:anchor distT="0" distB="0" distL="114300" distR="114300" simplePos="0" relativeHeight="251669504" behindDoc="0" locked="0" layoutInCell="1" allowOverlap="1">
            <wp:simplePos x="0" y="0"/>
            <wp:positionH relativeFrom="column">
              <wp:posOffset>226060</wp:posOffset>
            </wp:positionH>
            <wp:positionV relativeFrom="page">
              <wp:posOffset>1990725</wp:posOffset>
            </wp:positionV>
            <wp:extent cx="5436235" cy="3804285"/>
            <wp:effectExtent l="0" t="0" r="12065" b="5715"/>
            <wp:wrapTopAndBottom/>
            <wp:docPr id="3" name="图片 1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5" descr="图片2"/>
                    <pic:cNvPicPr>
                      <a:picLocks noChangeAspect="1"/>
                    </pic:cNvPicPr>
                  </pic:nvPicPr>
                  <pic:blipFill>
                    <a:blip r:embed="rId16"/>
                    <a:stretch>
                      <a:fillRect/>
                    </a:stretch>
                  </pic:blipFill>
                  <pic:spPr>
                    <a:xfrm>
                      <a:off x="0" y="0"/>
                      <a:ext cx="5436235" cy="3804285"/>
                    </a:xfrm>
                    <a:prstGeom prst="rect">
                      <a:avLst/>
                    </a:prstGeom>
                    <a:noFill/>
                    <a:ln>
                      <a:noFill/>
                    </a:ln>
                  </pic:spPr>
                </pic:pic>
              </a:graphicData>
            </a:graphic>
          </wp:anchor>
        </w:drawing>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kern w:val="0"/>
          <w:sz w:val="32"/>
          <w:szCs w:val="32"/>
          <w:lang w:val="en-US" w:eastAsia="zh-CN" w:bidi="ar"/>
        </w:rPr>
      </w:pPr>
      <w:r>
        <w:rPr>
          <w:rFonts w:hint="eastAsia" w:ascii="楷体" w:hAnsi="楷体" w:eastAsia="楷体" w:cs="楷体"/>
          <w:color w:val="auto"/>
          <w:sz w:val="24"/>
          <w:szCs w:val="24"/>
          <w:lang w:val="en-US" w:eastAsia="zh-CN"/>
        </w:rPr>
        <w:t>图7：</w:t>
      </w:r>
      <w:r>
        <w:rPr>
          <w:rFonts w:hint="eastAsia" w:ascii="楷体" w:hAnsi="楷体" w:eastAsia="楷体" w:cs="楷体"/>
          <w:sz w:val="24"/>
          <w:szCs w:val="24"/>
        </w:rPr>
        <w:t>“新生i问”校园人工智能问答系统</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公开财务、资产及收费信息78条，包括财务、资产管理制度，仪器设备、图书、药品等物资设备采购和重大基建工程的招投标信息，本年度部门预算和上年度部门决算等信息，财务、资产及收费信息中受捐赠财产的使用与管理情况，校办企业资产、负债、国有资产保值增值等信息。</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本年度，学校进一步加大财务信息公开力度，通过智慧校园办事大厅，开通在线业务办理，为教职工提供更便捷的服务。按照主管部门规定的时间、内容和格式，发布中国政法大学</w:t>
      </w:r>
      <w:r>
        <w:rPr>
          <w:rFonts w:hint="eastAsia" w:ascii="仿宋" w:hAnsi="仿宋" w:eastAsia="仿宋" w:cs="仿宋"/>
          <w:color w:val="000000"/>
          <w:kern w:val="0"/>
          <w:sz w:val="32"/>
          <w:szCs w:val="32"/>
          <w:highlight w:val="none"/>
          <w:lang w:val="en-US" w:eastAsia="zh-CN" w:bidi="ar"/>
        </w:rPr>
        <w:t>2019年部门预算情况和2018年度部门决算情况，包含收支决算</w:t>
      </w:r>
      <w:r>
        <w:rPr>
          <w:rFonts w:hint="eastAsia" w:ascii="仿宋" w:hAnsi="仿宋" w:eastAsia="仿宋" w:cs="仿宋"/>
          <w:color w:val="000000"/>
          <w:kern w:val="0"/>
          <w:sz w:val="32"/>
          <w:szCs w:val="32"/>
          <w:lang w:val="en-US" w:eastAsia="zh-CN" w:bidi="ar"/>
        </w:rPr>
        <w:t>总表、 收入决算表、支出决算表、财政拨款支出决算表、收支预算总表、收入预算表、支出预算表和财政拨款支出预算表，共8张表，并对表格内容及专业术语进行文字解释说明，便于公众了解相关信息，接受社会监督。</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auto"/>
        <w:rPr>
          <w:rFonts w:hint="eastAsia" w:ascii="楷体" w:hAnsi="楷体" w:eastAsia="楷体" w:cs="楷体"/>
          <w:sz w:val="24"/>
          <w:szCs w:val="24"/>
          <w:lang w:eastAsia="zh-CN"/>
        </w:rPr>
      </w:pPr>
      <w:r>
        <w:rPr>
          <w:rFonts w:hint="eastAsia" w:ascii="仿宋" w:hAnsi="仿宋" w:eastAsia="仿宋" w:cs="仿宋"/>
          <w:color w:val="000000"/>
          <w:kern w:val="0"/>
          <w:sz w:val="24"/>
          <w:szCs w:val="24"/>
          <w:highlight w:val="none"/>
          <w:lang w:val="en-US" w:eastAsia="zh-CN" w:bidi="ar"/>
        </w:rPr>
        <w:drawing>
          <wp:anchor distT="0" distB="0" distL="114300" distR="114300" simplePos="0" relativeHeight="251664384" behindDoc="0" locked="0" layoutInCell="1" allowOverlap="1">
            <wp:simplePos x="0" y="0"/>
            <wp:positionH relativeFrom="column">
              <wp:posOffset>180975</wp:posOffset>
            </wp:positionH>
            <wp:positionV relativeFrom="paragraph">
              <wp:posOffset>20955</wp:posOffset>
            </wp:positionV>
            <wp:extent cx="5604510" cy="3579495"/>
            <wp:effectExtent l="0" t="0" r="15240" b="1905"/>
            <wp:wrapTopAndBottom/>
            <wp:docPr id="5" name="图片 13" descr="1a64ea3e05436dbd0896c686b76c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descr="1a64ea3e05436dbd0896c686b76c017"/>
                    <pic:cNvPicPr>
                      <a:picLocks noChangeAspect="1"/>
                    </pic:cNvPicPr>
                  </pic:nvPicPr>
                  <pic:blipFill>
                    <a:blip r:embed="rId17"/>
                    <a:stretch>
                      <a:fillRect/>
                    </a:stretch>
                  </pic:blipFill>
                  <pic:spPr>
                    <a:xfrm>
                      <a:off x="0" y="0"/>
                      <a:ext cx="5604510" cy="3579495"/>
                    </a:xfrm>
                    <a:prstGeom prst="rect">
                      <a:avLst/>
                    </a:prstGeom>
                    <a:noFill/>
                    <a:ln>
                      <a:noFill/>
                    </a:ln>
                  </pic:spPr>
                </pic:pic>
              </a:graphicData>
            </a:graphic>
          </wp:anchor>
        </w:drawing>
      </w:r>
      <w:r>
        <w:rPr>
          <w:rFonts w:hint="eastAsia" w:ascii="楷体" w:hAnsi="楷体" w:eastAsia="楷体" w:cs="楷体"/>
          <w:color w:val="auto"/>
          <w:sz w:val="24"/>
          <w:szCs w:val="24"/>
          <w:lang w:val="en-US" w:eastAsia="zh-CN"/>
        </w:rPr>
        <w:t>图8：学校</w:t>
      </w:r>
      <w:r>
        <w:rPr>
          <w:rFonts w:hint="eastAsia" w:ascii="楷体" w:hAnsi="楷体" w:eastAsia="楷体" w:cs="楷体"/>
          <w:sz w:val="24"/>
          <w:szCs w:val="24"/>
          <w:lang w:eastAsia="zh-CN"/>
        </w:rPr>
        <w:t>财务处网站</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color w:val="000000"/>
          <w:kern w:val="0"/>
          <w:sz w:val="32"/>
          <w:szCs w:val="32"/>
          <w:highlight w:val="none"/>
          <w:lang w:val="en-US" w:eastAsia="zh-CN" w:bidi="ar"/>
        </w:rPr>
      </w:pPr>
      <w:r>
        <w:rPr>
          <w:rFonts w:hint="eastAsia" w:ascii="楷体" w:hAnsi="楷体" w:eastAsia="楷体" w:cs="楷体"/>
          <w:sz w:val="24"/>
          <w:szCs w:val="24"/>
          <w:lang w:val="en-US" w:eastAsia="zh-CN"/>
        </w:rPr>
        <w:drawing>
          <wp:anchor distT="0" distB="0" distL="114300" distR="114300" simplePos="0" relativeHeight="251666432" behindDoc="0" locked="0" layoutInCell="1" allowOverlap="1">
            <wp:simplePos x="0" y="0"/>
            <wp:positionH relativeFrom="column">
              <wp:posOffset>342265</wp:posOffset>
            </wp:positionH>
            <wp:positionV relativeFrom="page">
              <wp:posOffset>7074535</wp:posOffset>
            </wp:positionV>
            <wp:extent cx="5147945" cy="2769235"/>
            <wp:effectExtent l="0" t="0" r="14605" b="12065"/>
            <wp:wrapTopAndBottom/>
            <wp:docPr id="7" name="图片 10" descr="xinxigongk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xinxigongkai"/>
                    <pic:cNvPicPr>
                      <a:picLocks noChangeAspect="1"/>
                    </pic:cNvPicPr>
                  </pic:nvPicPr>
                  <pic:blipFill>
                    <a:blip r:embed="rId18"/>
                    <a:stretch>
                      <a:fillRect/>
                    </a:stretch>
                  </pic:blipFill>
                  <pic:spPr>
                    <a:xfrm>
                      <a:off x="0" y="0"/>
                      <a:ext cx="5147945" cy="2769235"/>
                    </a:xfrm>
                    <a:prstGeom prst="rect">
                      <a:avLst/>
                    </a:prstGeom>
                    <a:noFill/>
                    <a:ln>
                      <a:noFill/>
                    </a:ln>
                  </pic:spPr>
                </pic:pic>
              </a:graphicData>
            </a:graphic>
          </wp:anchor>
        </w:drawing>
      </w:r>
      <w:r>
        <w:rPr>
          <w:rFonts w:hint="eastAsia" w:ascii="仿宋" w:hAnsi="仿宋" w:eastAsia="仿宋" w:cs="仿宋"/>
          <w:color w:val="000000"/>
          <w:kern w:val="0"/>
          <w:sz w:val="32"/>
          <w:szCs w:val="32"/>
          <w:lang w:val="en-US" w:eastAsia="zh-CN" w:bidi="ar"/>
        </w:rPr>
        <w:t>学校继续实施仪器设备、图书、药品等物资设备和重大基建工程的招标采购工作，通过校园网或者中国政府采购网、中国采购与招标网等招标平台进行招标</w:t>
      </w:r>
      <w:r>
        <w:rPr>
          <w:rFonts w:hint="eastAsia" w:ascii="仿宋" w:hAnsi="仿宋" w:eastAsia="仿宋" w:cs="仿宋"/>
          <w:color w:val="000000"/>
          <w:kern w:val="0"/>
          <w:sz w:val="32"/>
          <w:szCs w:val="32"/>
          <w:highlight w:val="none"/>
          <w:lang w:val="en-US" w:eastAsia="zh-CN" w:bidi="ar"/>
        </w:rPr>
        <w:t>，本年度共发布招标采购相关信息74条。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kern w:val="0"/>
          <w:sz w:val="24"/>
          <w:szCs w:val="24"/>
          <w:lang w:val="en-US" w:eastAsia="zh-CN" w:bidi="ar"/>
        </w:rPr>
      </w:pPr>
      <w:r>
        <w:rPr>
          <w:rFonts w:hint="eastAsia" w:ascii="楷体" w:hAnsi="楷体" w:eastAsia="楷体" w:cs="楷体"/>
          <w:color w:val="auto"/>
          <w:sz w:val="24"/>
          <w:szCs w:val="24"/>
          <w:lang w:val="en-US" w:eastAsia="zh-CN"/>
        </w:rPr>
        <w:t>图9：</w:t>
      </w:r>
      <w:r>
        <w:rPr>
          <w:rFonts w:hint="eastAsia" w:ascii="楷体" w:hAnsi="楷体" w:eastAsia="楷体" w:cs="楷体"/>
          <w:sz w:val="24"/>
          <w:szCs w:val="24"/>
          <w:lang w:eastAsia="zh-CN"/>
        </w:rPr>
        <w:t>招投标公示情况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24"/>
          <w:szCs w:val="24"/>
          <w:lang w:val="en-US" w:eastAsia="zh-CN" w:bidi="ar"/>
        </w:rPr>
        <w:drawing>
          <wp:anchor distT="0" distB="0" distL="114300" distR="114300" simplePos="0" relativeHeight="251667456" behindDoc="0" locked="0" layoutInCell="1" allowOverlap="1">
            <wp:simplePos x="0" y="0"/>
            <wp:positionH relativeFrom="column">
              <wp:posOffset>145415</wp:posOffset>
            </wp:positionH>
            <wp:positionV relativeFrom="page">
              <wp:posOffset>2886710</wp:posOffset>
            </wp:positionV>
            <wp:extent cx="5570220" cy="3259455"/>
            <wp:effectExtent l="0" t="0" r="11430" b="17145"/>
            <wp:wrapTopAndBottom/>
            <wp:docPr id="6" name="图片 11" descr="人事师资招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人事师资招聘"/>
                    <pic:cNvPicPr>
                      <a:picLocks noChangeAspect="1"/>
                    </pic:cNvPicPr>
                  </pic:nvPicPr>
                  <pic:blipFill>
                    <a:blip r:embed="rId19"/>
                    <a:stretch>
                      <a:fillRect/>
                    </a:stretch>
                  </pic:blipFill>
                  <pic:spPr>
                    <a:xfrm>
                      <a:off x="0" y="0"/>
                      <a:ext cx="5570220" cy="3259455"/>
                    </a:xfrm>
                    <a:prstGeom prst="rect">
                      <a:avLst/>
                    </a:prstGeom>
                    <a:noFill/>
                    <a:ln>
                      <a:noFill/>
                    </a:ln>
                  </pic:spPr>
                </pic:pic>
              </a:graphicData>
            </a:graphic>
          </wp:anchor>
        </w:drawing>
      </w:r>
      <w:r>
        <w:rPr>
          <w:rFonts w:hint="eastAsia" w:ascii="仿宋" w:hAnsi="仿宋" w:eastAsia="仿宋" w:cs="仿宋"/>
          <w:color w:val="000000"/>
          <w:kern w:val="0"/>
          <w:sz w:val="32"/>
          <w:szCs w:val="32"/>
          <w:lang w:val="en-US" w:eastAsia="zh-CN" w:bidi="ar"/>
        </w:rPr>
        <w:t>4.公开“人事师资信息”35条，</w:t>
      </w:r>
      <w:r>
        <w:rPr>
          <w:rFonts w:hint="eastAsia" w:ascii="仿宋" w:hAnsi="仿宋" w:eastAsia="仿宋" w:cs="仿宋"/>
          <w:color w:val="auto"/>
          <w:kern w:val="0"/>
          <w:sz w:val="32"/>
          <w:szCs w:val="32"/>
          <w:lang w:val="en-US" w:eastAsia="zh-CN" w:bidi="ar"/>
        </w:rPr>
        <w:t>主要包括校级领导干部社会兼职、因公出国（境）情况，校内中层干部任免和人员招聘信息，“人事师资信息”中岗位设置管理与聘用办法、教职工争议解决办法2</w:t>
      </w:r>
      <w:r>
        <w:rPr>
          <w:rFonts w:hint="eastAsia" w:ascii="仿宋" w:hAnsi="仿宋" w:eastAsia="仿宋" w:cs="仿宋"/>
          <w:color w:val="000000"/>
          <w:kern w:val="0"/>
          <w:sz w:val="32"/>
          <w:szCs w:val="32"/>
          <w:lang w:val="en-US" w:eastAsia="zh-CN" w:bidi="ar"/>
        </w:rPr>
        <w:t>项内容没有变化，故没有更新数据。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000000"/>
          <w:kern w:val="0"/>
          <w:sz w:val="24"/>
          <w:szCs w:val="24"/>
          <w:lang w:val="en-US" w:eastAsia="zh-CN" w:bidi="ar"/>
        </w:rPr>
      </w:pPr>
      <w:r>
        <w:rPr>
          <w:rFonts w:hint="eastAsia" w:ascii="楷体" w:hAnsi="楷体" w:eastAsia="楷体" w:cs="楷体"/>
          <w:color w:val="auto"/>
          <w:sz w:val="24"/>
          <w:szCs w:val="24"/>
          <w:lang w:val="en-US" w:eastAsia="zh-CN"/>
        </w:rPr>
        <w:t>图10：</w:t>
      </w:r>
      <w:r>
        <w:rPr>
          <w:rFonts w:hint="eastAsia" w:ascii="楷体" w:hAnsi="楷体" w:eastAsia="楷体" w:cs="楷体"/>
          <w:sz w:val="24"/>
          <w:szCs w:val="24"/>
          <w:lang w:eastAsia="zh-CN"/>
        </w:rPr>
        <w:t>中国政法大学招聘公示情况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年度，学校继续加大人事相关制度制定过程的信息公开。在人事招聘上，除通过学校主页、人事处网站、学校信息公开网等公开人事招聘等信息外，还联系高等院校招生就业部门发布就业信息，定期推送我校招聘岗位信息等，全方位公开人事招聘相关信息。本年度，共公开各类招聘信息33条。</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highlight w:val="none"/>
          <w:lang w:val="en-US" w:eastAsia="zh-CN" w:bidi="ar"/>
        </w:rPr>
        <w:t>公开“教学质量信息”3条</w:t>
      </w:r>
      <w:r>
        <w:rPr>
          <w:rFonts w:hint="eastAsia" w:ascii="仿宋" w:hAnsi="仿宋" w:eastAsia="仿宋" w:cs="仿宋"/>
          <w:color w:val="000000"/>
          <w:kern w:val="0"/>
          <w:sz w:val="32"/>
          <w:szCs w:val="32"/>
          <w:lang w:val="en-US" w:eastAsia="zh-CN" w:bidi="ar"/>
        </w:rPr>
        <w:t>，分别为高校毕业生就业质量年度报告、艺术教育发展年度报告、本科教学质量报告。</w:t>
      </w:r>
      <w:r>
        <w:rPr>
          <w:rFonts w:hint="eastAsia" w:ascii="仿宋" w:hAnsi="仿宋" w:eastAsia="仿宋" w:cs="仿宋"/>
          <w:color w:val="0000FF"/>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highlight w:val="yellow"/>
        </w:rPr>
      </w:pPr>
      <w:r>
        <w:rPr>
          <w:rFonts w:hint="eastAsia" w:ascii="仿宋" w:hAnsi="仿宋" w:eastAsia="仿宋" w:cs="仿宋"/>
          <w:color w:val="000000"/>
          <w:kern w:val="0"/>
          <w:sz w:val="32"/>
          <w:szCs w:val="32"/>
          <w:lang w:val="en-US" w:eastAsia="zh-CN" w:bidi="ar"/>
        </w:rPr>
        <w:t>6.公开“学生管理服务信息”6条，均为学生奖学金、助学金、学费减免、助学贷款、勤工俭学的申请与管理规定相关文件。</w:t>
      </w:r>
      <w:r>
        <w:rPr>
          <w:rFonts w:hint="eastAsia" w:ascii="仿宋" w:hAnsi="仿宋" w:eastAsia="仿宋" w:cs="仿宋"/>
          <w:color w:val="000000"/>
          <w:kern w:val="0"/>
          <w:sz w:val="32"/>
          <w:szCs w:val="32"/>
          <w:highlight w:val="none"/>
          <w:lang w:val="en-US" w:eastAsia="zh-CN" w:bidi="ar"/>
        </w:rPr>
        <w:t>学籍管理办法、学生奖励处罚办法、学生申诉办法等3项信息本年度内没有变化，故没有更新数据。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7.公开“学风建设信息”0条，该项信息已经公开，因本年度内该项信息学校没有变化，故没有更新数据。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8.公开“学位、学科信息”0条，该项信息已经公开，因本年度内该项信息学校没有变化，故没有更新数据。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9.公开“对外交流与合作信息”1条，主要包括中外合作办学情况、来华留学生管理相关规定等信息，其中来华留学生管理相关规定 1 项内容没有变化，故没有更新数据。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sz w:val="32"/>
          <w:szCs w:val="32"/>
        </w:rPr>
      </w:pPr>
      <w:r>
        <w:rPr>
          <w:rFonts w:hint="eastAsia" w:ascii="仿宋" w:hAnsi="仿宋" w:eastAsia="仿宋" w:cs="仿宋"/>
          <w:color w:val="000000"/>
          <w:kern w:val="0"/>
          <w:sz w:val="32"/>
          <w:szCs w:val="32"/>
          <w:lang w:val="en-US" w:eastAsia="zh-CN" w:bidi="ar"/>
        </w:rPr>
        <w:t>10.公开“其他”1条，为巡视组反馈意见，落实反馈意见整改情况相关公告。教育部党组第一巡视组自2019年4月19日至5月30日对学校进行了为期42天的巡视，信息公开网站配合巡视工作，发布相关公告和党政会议讨论巡视整改方案的新闻报道等。“其他”项中自然灾害等突发事件的应急处理预案、预警信息和处置情况，涉及学校的重大事件的调查和处理情况内容没有变化，故没有更新数据。</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11.</w:t>
      </w:r>
      <w:r>
        <w:rPr>
          <w:rFonts w:hint="eastAsia" w:ascii="仿宋" w:hAnsi="仿宋" w:eastAsia="仿宋" w:cs="仿宋"/>
          <w:color w:val="000000"/>
          <w:kern w:val="0"/>
          <w:sz w:val="32"/>
          <w:szCs w:val="32"/>
          <w:highlight w:val="none"/>
          <w:lang w:val="en-US" w:eastAsia="zh-CN" w:bidi="ar"/>
        </w:rPr>
        <w:t>公开“党务公开”信息10条，</w:t>
      </w:r>
      <w:r>
        <w:rPr>
          <w:rFonts w:hint="eastAsia" w:ascii="仿宋" w:hAnsi="仿宋" w:eastAsia="仿宋" w:cs="仿宋"/>
          <w:color w:val="000000"/>
          <w:kern w:val="0"/>
          <w:sz w:val="32"/>
          <w:szCs w:val="32"/>
          <w:lang w:val="en-US" w:eastAsia="zh-CN" w:bidi="ar"/>
        </w:rPr>
        <w:t>主要包括党的基层组织建设、党风廉政建设。</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12.公开“后勤保障”信息3条，主要为校园提示、后勤维修改造招投标公示等。</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ascii="黑体" w:hAnsi="宋体" w:eastAsia="黑体" w:cs="黑体"/>
          <w:color w:val="000000"/>
          <w:kern w:val="0"/>
          <w:sz w:val="32"/>
          <w:szCs w:val="32"/>
          <w:lang w:val="en-US" w:eastAsia="zh-CN" w:bidi="ar"/>
        </w:rPr>
        <w:t>三、</w:t>
      </w:r>
      <w:r>
        <w:rPr>
          <w:rFonts w:ascii="黑体" w:hAnsi="宋体" w:eastAsia="黑体" w:cs="黑体"/>
          <w:color w:val="000000"/>
          <w:kern w:val="0"/>
          <w:sz w:val="32"/>
          <w:szCs w:val="32"/>
          <w:highlight w:val="none"/>
          <w:lang w:val="en-US" w:eastAsia="zh-CN" w:bidi="ar"/>
        </w:rPr>
        <w:t>依申请公开和不予公开情况</w:t>
      </w:r>
      <w:r>
        <w:rPr>
          <w:rFonts w:ascii="黑体" w:hAnsi="宋体" w:eastAsia="黑体" w:cs="黑体"/>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截至2019年8月31日，学校共收到信息公开申请56件，其中12件申请为咨询事项；6件申请信息不属于公开范围；2件申请信息不存在；3件申请被撤回；1件部分信息公开；24件信息已公开，告知其查询途径；8件不予公开。</w:t>
      </w:r>
      <w:r>
        <w:rPr>
          <w:rFonts w:hint="eastAsia" w:ascii="仿宋" w:hAnsi="仿宋" w:eastAsia="仿宋" w:cs="仿宋"/>
          <w:color w:val="000000"/>
          <w:kern w:val="0"/>
          <w:sz w:val="32"/>
          <w:szCs w:val="32"/>
          <w:highlight w:val="none"/>
          <w:lang w:val="en-US" w:eastAsia="zh-CN" w:bidi="ar"/>
        </w:rPr>
        <w:t>在所有来件的申请主体上，</w:t>
      </w:r>
      <w:r>
        <w:rPr>
          <w:rFonts w:hint="eastAsia" w:ascii="仿宋" w:hAnsi="仿宋" w:eastAsia="仿宋" w:cs="仿宋"/>
          <w:color w:val="000000"/>
          <w:kern w:val="0"/>
          <w:sz w:val="32"/>
          <w:szCs w:val="32"/>
          <w:lang w:val="en-US" w:eastAsia="zh-CN" w:bidi="ar"/>
        </w:rPr>
        <w:t>32件申请人为校内师生员工，24件申请人为校外人员。</w:t>
      </w:r>
      <w:r>
        <w:rPr>
          <w:rFonts w:hint="eastAsia" w:ascii="仿宋" w:hAnsi="仿宋" w:eastAsia="仿宋" w:cs="仿宋"/>
          <w:color w:val="000000"/>
          <w:kern w:val="0"/>
          <w:sz w:val="32"/>
          <w:szCs w:val="32"/>
          <w:highlight w:val="none"/>
          <w:lang w:val="en-US" w:eastAsia="zh-CN" w:bidi="ar"/>
        </w:rPr>
        <w:t>在申请方式上</w:t>
      </w:r>
      <w:r>
        <w:rPr>
          <w:rFonts w:hint="eastAsia" w:ascii="仿宋" w:hAnsi="仿宋" w:eastAsia="仿宋" w:cs="仿宋"/>
          <w:color w:val="000000"/>
          <w:kern w:val="0"/>
          <w:sz w:val="32"/>
          <w:szCs w:val="32"/>
          <w:lang w:val="en-US" w:eastAsia="zh-CN" w:bidi="ar"/>
        </w:rPr>
        <w:t>，1件为信函方式申请，3件邮政快递，1件为现场提交，11件为电子邮件，40件为在线提交。截至2019年8月月31日，学校未接到电话咨询，未发生学校信息公开收费和费用减免情况。</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center"/>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drawing>
          <wp:inline distT="0" distB="0" distL="114300" distR="114300">
            <wp:extent cx="4581525" cy="2752725"/>
            <wp:effectExtent l="0" t="0" r="9525" b="9525"/>
            <wp:docPr id="4" name="图片 2" descr="微信图片_2019102210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微信图片_20191022102601"/>
                    <pic:cNvPicPr>
                      <a:picLocks noChangeAspect="1"/>
                    </pic:cNvPicPr>
                  </pic:nvPicPr>
                  <pic:blipFill>
                    <a:blip r:embed="rId20"/>
                    <a:stretch>
                      <a:fillRect/>
                    </a:stretch>
                  </pic:blipFill>
                  <pic:spPr>
                    <a:xfrm>
                      <a:off x="0" y="0"/>
                      <a:ext cx="4581525" cy="275272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center"/>
        <w:textAlignment w:val="auto"/>
        <w:rPr>
          <w:rFonts w:hint="eastAsia" w:ascii="黑体" w:hAnsi="宋体" w:eastAsia="黑体" w:cs="黑体"/>
          <w:color w:val="000000"/>
          <w:kern w:val="0"/>
          <w:sz w:val="24"/>
          <w:szCs w:val="24"/>
          <w:highlight w:val="none"/>
          <w:lang w:val="en-US" w:eastAsia="zh-CN" w:bidi="ar"/>
        </w:rPr>
      </w:pPr>
      <w:r>
        <w:rPr>
          <w:rFonts w:hint="eastAsia" w:ascii="楷体" w:hAnsi="楷体" w:eastAsia="楷体" w:cs="楷体"/>
          <w:color w:val="auto"/>
          <w:sz w:val="24"/>
          <w:szCs w:val="24"/>
          <w:lang w:val="en-US" w:eastAsia="zh-CN"/>
        </w:rPr>
        <w:t>图11：依申请公开</w:t>
      </w:r>
      <w:r>
        <w:rPr>
          <w:rFonts w:hint="eastAsia" w:ascii="楷体" w:hAnsi="楷体" w:eastAsia="楷体" w:cs="楷体"/>
          <w:sz w:val="24"/>
          <w:szCs w:val="24"/>
          <w:lang w:eastAsia="zh-CN"/>
        </w:rPr>
        <w:t>情况</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560" w:firstLineChars="200"/>
        <w:jc w:val="left"/>
        <w:textAlignment w:val="auto"/>
      </w:pPr>
      <w:r>
        <w:drawing>
          <wp:inline distT="0" distB="0" distL="114300" distR="114300">
            <wp:extent cx="2305050" cy="1962150"/>
            <wp:effectExtent l="4445" t="4445" r="14605" b="14605"/>
            <wp:docPr id="8"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drawing>
          <wp:inline distT="0" distB="0" distL="114300" distR="114300">
            <wp:extent cx="2838450" cy="1981200"/>
            <wp:effectExtent l="4445" t="4445" r="14605" b="14605"/>
            <wp:docPr id="15" name="图表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Pr>
          <w:rFonts w:hint="eastAsia"/>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480" w:firstLineChars="200"/>
        <w:jc w:val="center"/>
        <w:textAlignment w:val="auto"/>
        <w:rPr>
          <w:rFonts w:hint="eastAsia" w:ascii="楷体" w:hAnsi="楷体" w:eastAsia="楷体" w:cs="楷体"/>
          <w:sz w:val="24"/>
          <w:szCs w:val="24"/>
          <w:lang w:val="en-US" w:eastAsia="zh-CN"/>
        </w:rPr>
      </w:pPr>
      <w:r>
        <w:rPr>
          <w:rFonts w:hint="eastAsia" w:ascii="楷体" w:hAnsi="楷体" w:eastAsia="楷体" w:cs="楷体"/>
          <w:color w:val="auto"/>
          <w:sz w:val="24"/>
          <w:szCs w:val="24"/>
          <w:lang w:val="en-US" w:eastAsia="zh-CN"/>
        </w:rPr>
        <w:t>图12：申请主体与申请方式</w:t>
      </w:r>
      <w:r>
        <w:rPr>
          <w:rFonts w:hint="eastAsia" w:ascii="楷体" w:hAnsi="楷体" w:eastAsia="楷体" w:cs="楷体"/>
          <w:sz w:val="24"/>
          <w:szCs w:val="24"/>
          <w:lang w:eastAsia="zh-CN"/>
        </w:rPr>
        <w:t>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黑体" w:hAnsi="宋体" w:eastAsia="黑体" w:cs="黑体"/>
          <w:color w:val="000000"/>
          <w:kern w:val="0"/>
          <w:sz w:val="32"/>
          <w:szCs w:val="32"/>
          <w:highlight w:val="none"/>
          <w:lang w:val="en-US" w:eastAsia="zh-CN" w:bidi="ar"/>
        </w:rPr>
        <w:t>四、信息公开评议情况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仿宋" w:hAnsi="仿宋" w:eastAsia="仿宋" w:cs="仿宋"/>
          <w:color w:val="000000"/>
          <w:kern w:val="0"/>
          <w:sz w:val="32"/>
          <w:szCs w:val="32"/>
          <w:lang w:val="en-US" w:eastAsia="zh-CN" w:bidi="ar"/>
        </w:rPr>
        <w:t>学校通过收集教代会、学代会提案搜集教职员工对学校信息公开的意见和建议；通过公开邮箱、“网上投诉”、公开电话等方式，接受社会公众和师生员工对信息公开的监督。学校师生对学校信息公开工作关注度较高，对学校信息公开工作整体上比较满意。</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highlight w:val="none"/>
        </w:rPr>
      </w:pPr>
      <w:r>
        <w:rPr>
          <w:rFonts w:hint="eastAsia" w:ascii="黑体" w:hAnsi="宋体" w:eastAsia="黑体" w:cs="黑体"/>
          <w:color w:val="000000"/>
          <w:kern w:val="0"/>
          <w:sz w:val="32"/>
          <w:szCs w:val="32"/>
          <w:lang w:val="en-US" w:eastAsia="zh-CN" w:bidi="ar"/>
        </w:rPr>
        <w:t>五、</w:t>
      </w:r>
      <w:r>
        <w:rPr>
          <w:rFonts w:hint="eastAsia" w:ascii="黑体" w:hAnsi="宋体" w:eastAsia="黑体" w:cs="黑体"/>
          <w:color w:val="000000"/>
          <w:kern w:val="0"/>
          <w:sz w:val="32"/>
          <w:szCs w:val="32"/>
          <w:highlight w:val="none"/>
          <w:lang w:val="en-US" w:eastAsia="zh-CN" w:bidi="ar"/>
        </w:rPr>
        <w:t xml:space="preserve">信息公开投诉情况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截至2019年8月31日，学校未收到信息公开工作相关投诉与举报材料。</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 xml:space="preserve">主要经验及存在的问题和改进措施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本年度，学校继续高度重视信息公开工作，根据《政府信息公开工作条例》（2019年修订），不断提高信息公开各项工作水平，制定新版信息公开告知书，规范告知书格式和体例，明确申请人申诉复议渠道；集中整理了2016年5月至今的校内规章制度汇编，方便师生及时了解学校最新制度；增设网上投诉平台，进一步明确信息公开与信访、投诉的区别等。</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学校在信息公开中虽然取得了一定的成绩，但仍存在一些问题，如学校信息公开工作专业人员数量不足，信息公开平台交互性差等。针对以上问题，学校将在两个方面加强改进：</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1.进一步扩充信息公开队伍，增加人员编制，加大信息队伍专业化建设力度，定期开展信息化队伍业务培训，认真学习贯彻落实信息公开相关法律法规与文件要求，确实提升信息公开工作的质量。</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宋体" w:eastAsia="黑体" w:cs="黑体"/>
          <w:color w:val="000000"/>
          <w:kern w:val="0"/>
          <w:sz w:val="32"/>
          <w:szCs w:val="32"/>
          <w:lang w:val="en-US" w:eastAsia="zh-CN" w:bidi="ar"/>
        </w:rPr>
      </w:pPr>
      <w:r>
        <w:rPr>
          <w:rFonts w:hint="eastAsia" w:ascii="仿宋" w:hAnsi="仿宋" w:eastAsia="仿宋"/>
          <w:sz w:val="32"/>
          <w:szCs w:val="32"/>
          <w:lang w:val="en-US" w:eastAsia="zh-CN"/>
        </w:rPr>
        <w:t>2.不断提升信息公开工作智能化、信息化水平，在以邮箱往来为主要信息公开处理方式的基础上，争取实现专业平台上的申请与答复，增强申请人与信息公开工作人员的实时交互性，简化申请与答复流程；同时在学校微信公众号上增设信息公开专栏，及时推送需主动公开的信息，增设查询功能，方便广大师生查询公开信息。</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七、其他需要报告的事项</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本报告电子版可在中国政法大学网站（http://xxgk.cupl.edu.cn/）下载，如对本报告有任何疑问，请联系：中国政法大学学校办公室督办科，电话：010－58909033。</w:t>
      </w:r>
    </w:p>
    <w:p>
      <w:pPr>
        <w:keepNext w:val="0"/>
        <w:keepLines w:val="0"/>
        <w:pageBreakBefore w:val="0"/>
        <w:numPr>
          <w:ilvl w:val="0"/>
          <w:numId w:val="3"/>
        </w:numPr>
        <w:kinsoku/>
        <w:wordWrap/>
        <w:overflowPunct/>
        <w:topLinePunct w:val="0"/>
        <w:autoSpaceDE/>
        <w:autoSpaceDN/>
        <w:bidi w:val="0"/>
        <w:adjustRightInd/>
        <w:snapToGrid/>
        <w:spacing w:line="480" w:lineRule="exact"/>
        <w:ind w:firstLine="640" w:firstLineChars="200"/>
        <w:textAlignment w:val="auto"/>
        <w:outlineLvl w:val="0"/>
        <w:rPr>
          <w:rFonts w:hint="eastAsia" w:ascii="黑体" w:hAnsi="黑体" w:eastAsia="黑体" w:cs="仿宋_GB2312"/>
          <w:sz w:val="32"/>
          <w:szCs w:val="32"/>
        </w:rPr>
      </w:pPr>
      <w:r>
        <w:rPr>
          <w:rFonts w:hint="eastAsia" w:ascii="黑体" w:hAnsi="黑体" w:eastAsia="黑体" w:cs="仿宋_GB2312"/>
          <w:sz w:val="32"/>
          <w:szCs w:val="32"/>
        </w:rPr>
        <w:t>清单事项公开情况表</w:t>
      </w:r>
    </w:p>
    <w:p>
      <w:pPr>
        <w:rPr>
          <w:rFonts w:hint="eastAsia" w:ascii="黑体" w:hAnsi="黑体" w:eastAsia="黑体" w:cs="仿宋_GB2312"/>
          <w:sz w:val="32"/>
          <w:szCs w:val="32"/>
        </w:rPr>
        <w:sectPr>
          <w:footerReference r:id="rId3" w:type="default"/>
          <w:footerReference r:id="rId4" w:type="even"/>
          <w:type w:val="continuous"/>
          <w:pgSz w:w="11906" w:h="16838"/>
          <w:pgMar w:top="2098" w:right="1474" w:bottom="1588" w:left="1588" w:header="851" w:footer="992" w:gutter="0"/>
          <w:pgNumType w:fmt="numberInDash"/>
          <w:cols w:space="720" w:num="1"/>
          <w:docGrid w:type="lines" w:linePitch="381" w:charSpace="0"/>
        </w:sectPr>
      </w:pPr>
      <w:r>
        <w:rPr>
          <w:rFonts w:hint="eastAsia" w:ascii="黑体" w:hAnsi="黑体" w:eastAsia="黑体" w:cs="仿宋_GB2312"/>
          <w:sz w:val="32"/>
          <w:szCs w:val="32"/>
        </w:rPr>
        <w:br w:type="page"/>
      </w:r>
    </w:p>
    <w:tbl>
      <w:tblPr>
        <w:tblStyle w:val="6"/>
        <w:tblpPr w:leftFromText="180" w:rightFromText="180" w:vertAnchor="text" w:horzAnchor="margin" w:tblpXSpec="center" w:tblpY="158"/>
        <w:tblW w:w="141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4961"/>
        <w:gridCol w:w="709"/>
        <w:gridCol w:w="4394"/>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675"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序号</w:t>
            </w:r>
          </w:p>
        </w:tc>
        <w:tc>
          <w:tcPr>
            <w:tcW w:w="1276"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类别</w:t>
            </w:r>
          </w:p>
        </w:tc>
        <w:tc>
          <w:tcPr>
            <w:tcW w:w="4961"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公开事项</w:t>
            </w:r>
          </w:p>
        </w:tc>
        <w:tc>
          <w:tcPr>
            <w:tcW w:w="709"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条数</w:t>
            </w:r>
          </w:p>
        </w:tc>
        <w:tc>
          <w:tcPr>
            <w:tcW w:w="4394"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网址</w:t>
            </w:r>
          </w:p>
        </w:tc>
        <w:tc>
          <w:tcPr>
            <w:tcW w:w="2127" w:type="dxa"/>
            <w:noWrap w:val="0"/>
            <w:vAlign w:val="center"/>
          </w:tcPr>
          <w:p>
            <w:pPr>
              <w:widowControl/>
              <w:spacing w:line="520" w:lineRule="atLeast"/>
              <w:jc w:val="center"/>
              <w:rPr>
                <w:rFonts w:ascii="黑体" w:hAnsi="黑体" w:eastAsia="黑体" w:cs="宋体"/>
                <w:bCs/>
                <w:kern w:val="0"/>
                <w:sz w:val="32"/>
                <w:szCs w:val="32"/>
              </w:rPr>
            </w:pPr>
            <w:r>
              <w:rPr>
                <w:rFonts w:hint="eastAsia" w:ascii="黑体" w:hAnsi="黑体" w:eastAsia="黑体" w:cs="宋体"/>
                <w:bCs/>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1</w:t>
            </w:r>
          </w:p>
        </w:tc>
        <w:tc>
          <w:tcPr>
            <w:tcW w:w="1276" w:type="dxa"/>
            <w:vMerge w:val="restart"/>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基本</w:t>
            </w:r>
          </w:p>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6</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w:t>
            </w:r>
            <w:r>
              <w:rPr>
                <w:rFonts w:hint="eastAsia" w:ascii="仿宋" w:hAnsi="仿宋" w:eastAsia="仿宋"/>
                <w:kern w:val="0"/>
                <w:sz w:val="32"/>
                <w:szCs w:val="32"/>
              </w:rPr>
              <w:t>）办学规模、校级领导班子简介及分工、学校机构设置、学科情况、专业情况、各类在校生情况、教师和专业技术人员数量等办学基本情况</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3</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 xml:space="preserve">http://xxgk.cupl.edu.cn/gkml.jsp?urltype=tree.TreeTempUrl&amp;wbtreeid=1022 </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w:t>
            </w:r>
            <w:r>
              <w:rPr>
                <w:rFonts w:hint="eastAsia" w:ascii="仿宋" w:hAnsi="仿宋" w:eastAsia="仿宋"/>
                <w:kern w:val="0"/>
                <w:sz w:val="32"/>
                <w:szCs w:val="32"/>
              </w:rPr>
              <w:t>）学校章程及制定的各项规章制度</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2</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http://xxgk.cupl.edu.cn/gkml.jsp?urltype=tree.TreeTempUrl&amp;wbtreeid=1023</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w:t>
            </w:r>
            <w:r>
              <w:rPr>
                <w:rFonts w:hint="eastAsia" w:ascii="仿宋" w:hAnsi="仿宋" w:eastAsia="仿宋"/>
                <w:kern w:val="0"/>
                <w:sz w:val="32"/>
                <w:szCs w:val="32"/>
              </w:rPr>
              <w:t>）教职工代表大会相关制度、工作报告</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2</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http://xxgk.cupl.edu.cn/gkml.jsp?urltype=tree.TreeTempUrl&amp;wbtreeid=1024</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w:t>
            </w:r>
            <w:r>
              <w:rPr>
                <w:rFonts w:hint="eastAsia" w:ascii="仿宋" w:hAnsi="仿宋" w:eastAsia="仿宋"/>
                <w:kern w:val="0"/>
                <w:sz w:val="32"/>
                <w:szCs w:val="32"/>
              </w:rPr>
              <w:t>）学术委员会相关制度、年度报告</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http://xxgk.cupl.edu.cn/gkml.jsp?urltype=tree.TreeTempUrl&amp;wbtreeid=1025</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5</w:t>
            </w:r>
            <w:r>
              <w:rPr>
                <w:rFonts w:hint="eastAsia" w:ascii="仿宋" w:hAnsi="仿宋" w:eastAsia="仿宋"/>
                <w:kern w:val="0"/>
                <w:sz w:val="32"/>
                <w:szCs w:val="32"/>
              </w:rPr>
              <w:t>）学校发展规划、年度工作计划及重点工作安排</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45</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http://xxgk.cupl.edu.cn/gkml.jsp?urltype=tree.TreeTempUrl&amp;wbtreeid=1026</w:t>
            </w:r>
          </w:p>
        </w:tc>
        <w:tc>
          <w:tcPr>
            <w:tcW w:w="2127" w:type="dxa"/>
            <w:noWrap w:val="0"/>
            <w:vAlign w:val="center"/>
          </w:tcPr>
          <w:p>
            <w:pPr>
              <w:widowControl/>
              <w:spacing w:line="480" w:lineRule="exact"/>
              <w:jc w:val="center"/>
              <w:rPr>
                <w:rFonts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6</w:t>
            </w:r>
            <w:r>
              <w:rPr>
                <w:rFonts w:hint="eastAsia" w:ascii="仿宋" w:hAnsi="仿宋" w:eastAsia="仿宋"/>
                <w:kern w:val="0"/>
                <w:sz w:val="32"/>
                <w:szCs w:val="32"/>
              </w:rPr>
              <w:t>）信息公开年度报告</w:t>
            </w:r>
          </w:p>
        </w:tc>
        <w:tc>
          <w:tcPr>
            <w:tcW w:w="709"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http://xxgk.cupl.edu.cn/gkml.jsp?urltype=tree.TreeTempUrl&amp;wbtreeid=1027</w:t>
            </w:r>
          </w:p>
        </w:tc>
        <w:tc>
          <w:tcPr>
            <w:tcW w:w="2127" w:type="dxa"/>
            <w:noWrap w:val="0"/>
            <w:vAlign w:val="center"/>
          </w:tcPr>
          <w:p>
            <w:pPr>
              <w:widowControl/>
              <w:spacing w:line="480" w:lineRule="exact"/>
              <w:jc w:val="center"/>
              <w:rPr>
                <w:rFonts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2</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招生考试信息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8</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7</w:t>
            </w:r>
            <w:r>
              <w:rPr>
                <w:rFonts w:hint="eastAsia" w:ascii="仿宋" w:hAnsi="仿宋" w:eastAsia="仿宋"/>
                <w:kern w:val="0"/>
                <w:sz w:val="32"/>
                <w:szCs w:val="32"/>
              </w:rPr>
              <w:t>）招生章程及特殊类型招生办法，分批次、分科类招生计划</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24</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http://xxgk.cupl.edu.cn/gkml.jsp?urltype=tree.TreeTempUrl&amp;wbtreeid=1039</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8</w:t>
            </w:r>
            <w:r>
              <w:rPr>
                <w:rFonts w:hint="eastAsia" w:ascii="仿宋" w:hAnsi="仿宋" w:eastAsia="仿宋"/>
                <w:kern w:val="0"/>
                <w:sz w:val="32"/>
                <w:szCs w:val="32"/>
              </w:rPr>
              <w:t>）保送、自主选拔录取、高水平运动员和艺术特长生招生等特殊类型招生入选考生资格及测试结果</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6</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http://xxgk.cupl.edu.cn/gkml.jsp?urltype=tree.TreeTempUrl&amp;wbtreeid=1040</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9</w:t>
            </w:r>
            <w:r>
              <w:rPr>
                <w:rFonts w:hint="eastAsia" w:ascii="仿宋" w:hAnsi="仿宋" w:eastAsia="仿宋"/>
                <w:kern w:val="0"/>
                <w:sz w:val="32"/>
                <w:szCs w:val="32"/>
              </w:rPr>
              <w:t>）考生个人录取信息查询渠道和办法，分批次、分科类录取人数和录取最低分</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8</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http://xxgk.cupl.edu.cn/gkml.jsp?urltype=tree.TreeTempUrl&amp;wbtreeid=1041</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10</w:t>
            </w:r>
            <w:r>
              <w:rPr>
                <w:rFonts w:hint="eastAsia" w:ascii="仿宋" w:hAnsi="仿宋" w:eastAsia="仿宋"/>
                <w:kern w:val="0"/>
                <w:sz w:val="32"/>
                <w:szCs w:val="32"/>
              </w:rPr>
              <w:t>）招生咨询及考生申诉渠道，新生复查期间有关举报、调查及处理结果</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2</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http://xxgk.cupl.edu.cn/gkml.jsp?urltype=tree.TreeTempUrl&amp;wbtreeid=1042</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11</w:t>
            </w:r>
            <w:r>
              <w:rPr>
                <w:rFonts w:hint="eastAsia" w:ascii="仿宋" w:hAnsi="仿宋" w:eastAsia="仿宋"/>
                <w:kern w:val="0"/>
                <w:sz w:val="32"/>
                <w:szCs w:val="32"/>
              </w:rPr>
              <w:t>）研究生招生简章、招生专业目录、复试录取办法，各院（系、所）或学科、专业招收研究生人数</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7</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http://xxgk.cupl.edu.cn/gkml.jsp?urltype=tree.TreeTempUrl&amp;wbtreeid=1043</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12</w:t>
            </w:r>
            <w:r>
              <w:rPr>
                <w:rFonts w:hint="eastAsia" w:ascii="仿宋" w:hAnsi="仿宋" w:eastAsia="仿宋"/>
                <w:kern w:val="0"/>
                <w:sz w:val="32"/>
                <w:szCs w:val="32"/>
              </w:rPr>
              <w:t>）参加研究生复试的考生成绩</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17</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http://xxgk.cupl.edu.cn/gkml.jsp?urltype=tree.TreeTempUrl&amp;wbtreeid=1045</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13</w:t>
            </w:r>
            <w:r>
              <w:rPr>
                <w:rFonts w:hint="eastAsia" w:ascii="仿宋" w:hAnsi="仿宋" w:eastAsia="仿宋"/>
                <w:kern w:val="0"/>
                <w:sz w:val="32"/>
                <w:szCs w:val="32"/>
              </w:rPr>
              <w:t>）拟录取研究生名单</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5</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http://xxgk.cupl.edu.cn/gkml.jsp?urltype=tree.TreeTempUrl&amp;wbtreeid=1046</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14</w:t>
            </w:r>
            <w:r>
              <w:rPr>
                <w:rFonts w:hint="eastAsia" w:ascii="仿宋" w:hAnsi="仿宋" w:eastAsia="仿宋"/>
                <w:kern w:val="0"/>
                <w:sz w:val="32"/>
                <w:szCs w:val="32"/>
              </w:rPr>
              <w:t>）研究生招生咨询及申诉渠道</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http://xxgk.cupl.edu.cn/gkml.jsp?urltype=tree.TreeTempUrl&amp;wbtreeid=1047</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3</w:t>
            </w:r>
          </w:p>
        </w:tc>
        <w:tc>
          <w:tcPr>
            <w:tcW w:w="1276" w:type="dxa"/>
            <w:vMerge w:val="restart"/>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财务、资产及收费</w:t>
            </w:r>
          </w:p>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7</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15</w:t>
            </w:r>
            <w:r>
              <w:rPr>
                <w:rFonts w:hint="eastAsia" w:ascii="仿宋" w:hAnsi="仿宋" w:eastAsia="仿宋"/>
                <w:kern w:val="0"/>
                <w:sz w:val="32"/>
                <w:szCs w:val="32"/>
              </w:rPr>
              <w:t>）财务、资产管理制度</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2</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http://xxgk.cupl.edu.cn/gkml.jsp?urltype=tree.TreeTempUrl&amp;wbtreeid=1048</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16</w:t>
            </w:r>
            <w:r>
              <w:rPr>
                <w:rFonts w:hint="eastAsia" w:ascii="仿宋" w:hAnsi="仿宋" w:eastAsia="仿宋"/>
                <w:kern w:val="0"/>
                <w:sz w:val="32"/>
                <w:szCs w:val="32"/>
              </w:rPr>
              <w:t>）受捐赠财产的使用与管理情况</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http://xxgk.cupl.edu.cn/gkml.jsp?urltype=tree.TreeTempUrl&amp;wbtreeid=1049</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17</w:t>
            </w:r>
            <w:r>
              <w:rPr>
                <w:rFonts w:hint="eastAsia" w:ascii="仿宋" w:hAnsi="仿宋" w:eastAsia="仿宋"/>
                <w:kern w:val="0"/>
                <w:sz w:val="32"/>
                <w:szCs w:val="32"/>
              </w:rPr>
              <w:t>）校办企业资产、负债、国有资产保值增值等信息</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http://xxgk.cupl.edu.cn/gkml.jsp?urltype=tree.TreeTempUrl&amp;wbtreeid=1050</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18</w:t>
            </w:r>
            <w:r>
              <w:rPr>
                <w:rFonts w:hint="eastAsia" w:ascii="仿宋" w:hAnsi="仿宋" w:eastAsia="仿宋"/>
                <w:kern w:val="0"/>
                <w:sz w:val="32"/>
                <w:szCs w:val="32"/>
              </w:rPr>
              <w:t>）仪器设备、图书、药品等物资设备采购和重大基建工程的招投标</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74</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http://xxgk.cupl.edu.cn/gkml.jsp?urltype=tree.TreeTempUrl&amp;wbtreeid=1051</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highlight w:val="none"/>
              </w:rPr>
            </w:pPr>
            <w:r>
              <w:rPr>
                <w:rFonts w:hint="eastAsia" w:ascii="仿宋" w:hAnsi="仿宋" w:eastAsia="仿宋"/>
                <w:kern w:val="0"/>
                <w:sz w:val="32"/>
                <w:szCs w:val="32"/>
                <w:highlight w:val="none"/>
              </w:rPr>
              <w:t>（</w:t>
            </w:r>
            <w:r>
              <w:rPr>
                <w:rFonts w:ascii="仿宋" w:hAnsi="仿宋" w:eastAsia="仿宋"/>
                <w:kern w:val="0"/>
                <w:sz w:val="32"/>
                <w:szCs w:val="32"/>
                <w:highlight w:val="none"/>
              </w:rPr>
              <w:t>19</w:t>
            </w:r>
            <w:r>
              <w:rPr>
                <w:rFonts w:hint="eastAsia" w:ascii="仿宋" w:hAnsi="仿宋" w:eastAsia="仿宋"/>
                <w:kern w:val="0"/>
                <w:sz w:val="32"/>
                <w:szCs w:val="32"/>
                <w:highlight w:val="none"/>
              </w:rPr>
              <w:t>）收支预算总表、收入预算表、支出预算表、财政拨款支出预算表</w:t>
            </w:r>
          </w:p>
        </w:tc>
        <w:tc>
          <w:tcPr>
            <w:tcW w:w="709" w:type="dxa"/>
            <w:noWrap w:val="0"/>
            <w:vAlign w:val="center"/>
          </w:tcPr>
          <w:p>
            <w:pPr>
              <w:widowControl/>
              <w:spacing w:line="480" w:lineRule="exact"/>
              <w:jc w:val="center"/>
              <w:rPr>
                <w:rFonts w:hint="eastAsia" w:ascii="仿宋" w:hAnsi="仿宋" w:eastAsia="仿宋"/>
                <w:color w:val="FF0000"/>
                <w:kern w:val="0"/>
                <w:sz w:val="32"/>
                <w:szCs w:val="32"/>
                <w:highlight w:val="none"/>
                <w:lang w:eastAsia="zh-CN"/>
              </w:rPr>
            </w:pPr>
            <w:r>
              <w:rPr>
                <w:rFonts w:hint="eastAsia" w:ascii="仿宋" w:hAnsi="仿宋" w:eastAsia="仿宋"/>
                <w:color w:val="auto"/>
                <w:kern w:val="0"/>
                <w:sz w:val="32"/>
                <w:szCs w:val="32"/>
                <w:highlight w:val="none"/>
                <w:lang w:val="en-US" w:eastAsia="zh-CN"/>
              </w:rPr>
              <w:t>1</w:t>
            </w:r>
          </w:p>
        </w:tc>
        <w:tc>
          <w:tcPr>
            <w:tcW w:w="4394" w:type="dxa"/>
            <w:noWrap w:val="0"/>
            <w:vAlign w:val="center"/>
          </w:tcPr>
          <w:p>
            <w:pPr>
              <w:widowControl/>
              <w:spacing w:line="480" w:lineRule="exact"/>
              <w:jc w:val="center"/>
              <w:rPr>
                <w:rFonts w:hint="eastAsia" w:ascii="仿宋" w:hAnsi="仿宋" w:eastAsia="仿宋"/>
                <w:kern w:val="0"/>
                <w:sz w:val="32"/>
                <w:szCs w:val="32"/>
                <w:highlight w:val="none"/>
              </w:rPr>
            </w:pPr>
            <w:r>
              <w:rPr>
                <w:rFonts w:hint="eastAsia" w:ascii="仿宋" w:hAnsi="仿宋" w:eastAsia="仿宋"/>
                <w:kern w:val="0"/>
                <w:sz w:val="32"/>
                <w:szCs w:val="32"/>
                <w:highlight w:val="none"/>
              </w:rPr>
              <w:t>http://xxgk.cupl.edu.cn/gkml.jsp?urltype=tree.TreeTempUrl&amp;wbtreeid=1052</w:t>
            </w:r>
          </w:p>
        </w:tc>
        <w:tc>
          <w:tcPr>
            <w:tcW w:w="2127" w:type="dxa"/>
            <w:noWrap w:val="0"/>
            <w:vAlign w:val="center"/>
          </w:tcPr>
          <w:p>
            <w:pPr>
              <w:widowControl/>
              <w:spacing w:line="480" w:lineRule="exact"/>
              <w:jc w:val="center"/>
              <w:rPr>
                <w:rFonts w:hint="eastAsia" w:ascii="仿宋" w:hAnsi="仿宋" w:eastAsia="仿宋"/>
                <w:kern w:val="0"/>
                <w:sz w:val="32"/>
                <w:szCs w:val="3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20</w:t>
            </w:r>
            <w:r>
              <w:rPr>
                <w:rFonts w:hint="eastAsia" w:ascii="仿宋" w:hAnsi="仿宋" w:eastAsia="仿宋"/>
                <w:kern w:val="0"/>
                <w:sz w:val="32"/>
                <w:szCs w:val="32"/>
              </w:rPr>
              <w:t>）收支决算总表、收入决算表、支出决算表、财政拨款支出决算表</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http://xxgk.cupl.edu.cn/gkml.jsp?urltype=tree.TreeTempUrl&amp;wbtreeid=1053</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21</w:t>
            </w:r>
            <w:r>
              <w:rPr>
                <w:rFonts w:hint="eastAsia" w:ascii="仿宋" w:hAnsi="仿宋" w:eastAsia="仿宋"/>
                <w:kern w:val="0"/>
                <w:sz w:val="32"/>
                <w:szCs w:val="32"/>
              </w:rPr>
              <w:t>）收费项目、收费依据、收费标准及投诉方式</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http://xxgk.cupl.edu.cn/gkml.jsp?urltype=tree.TreeTempUrl&amp;wbtreeid=1054</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4</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人事师资信息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5</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22</w:t>
            </w:r>
            <w:r>
              <w:rPr>
                <w:rFonts w:hint="eastAsia" w:ascii="仿宋" w:hAnsi="仿宋" w:eastAsia="仿宋"/>
                <w:kern w:val="0"/>
                <w:sz w:val="32"/>
                <w:szCs w:val="32"/>
              </w:rPr>
              <w:t>）校级领导干部社会兼职情况</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http://xxgk.cupl.edu.cn/gkml.jsp?urltype=tree.TreeTempUrl&amp;wbtreeid=1055</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23</w:t>
            </w:r>
            <w:r>
              <w:rPr>
                <w:rFonts w:hint="eastAsia" w:ascii="仿宋" w:hAnsi="仿宋" w:eastAsia="仿宋"/>
                <w:kern w:val="0"/>
                <w:sz w:val="32"/>
                <w:szCs w:val="32"/>
              </w:rPr>
              <w:t>）校级领导干部因公出国（境）情况</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http://xxgk.cupl.edu.cn/gkml.jsp?urltype=tree.TreeTempUrl&amp;wbtreeid=1056</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24</w:t>
            </w:r>
            <w:r>
              <w:rPr>
                <w:rFonts w:hint="eastAsia" w:ascii="仿宋" w:hAnsi="仿宋" w:eastAsia="仿宋"/>
                <w:kern w:val="0"/>
                <w:sz w:val="32"/>
                <w:szCs w:val="32"/>
              </w:rPr>
              <w:t>）岗位设置管理与聘用办法</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http://xxgk.cupl.edu.cn/gkml.jsp?urltype=tree.TreeTempUrl&amp;wbtreeid=1057</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25</w:t>
            </w:r>
            <w:r>
              <w:rPr>
                <w:rFonts w:hint="eastAsia" w:ascii="仿宋" w:hAnsi="仿宋" w:eastAsia="仿宋"/>
                <w:kern w:val="0"/>
                <w:sz w:val="32"/>
                <w:szCs w:val="32"/>
              </w:rPr>
              <w:t>）校内中层干部任免、人员招聘信息</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33</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color w:val="auto"/>
                <w:kern w:val="0"/>
                <w:sz w:val="32"/>
                <w:szCs w:val="32"/>
              </w:rPr>
              <w:fldChar w:fldCharType="begin"/>
            </w:r>
            <w:r>
              <w:rPr>
                <w:rFonts w:hint="eastAsia" w:ascii="仿宋" w:hAnsi="仿宋" w:eastAsia="仿宋"/>
                <w:color w:val="auto"/>
                <w:kern w:val="0"/>
                <w:sz w:val="32"/>
                <w:szCs w:val="32"/>
              </w:rPr>
              <w:instrText xml:space="preserve"> HYPERLINK "http://xxgk.cupl.edu.cn/gkml.jsp?urltype=tree.TreeTempUrl&amp;wbtreeid=1058" </w:instrText>
            </w:r>
            <w:r>
              <w:rPr>
                <w:rFonts w:hint="eastAsia" w:ascii="仿宋" w:hAnsi="仿宋" w:eastAsia="仿宋"/>
                <w:color w:val="auto"/>
                <w:kern w:val="0"/>
                <w:sz w:val="32"/>
                <w:szCs w:val="32"/>
              </w:rPr>
              <w:fldChar w:fldCharType="separate"/>
            </w:r>
            <w:r>
              <w:rPr>
                <w:rStyle w:val="8"/>
                <w:rFonts w:hint="eastAsia" w:ascii="仿宋" w:hAnsi="仿宋" w:eastAsia="仿宋"/>
                <w:color w:val="auto"/>
                <w:kern w:val="0"/>
                <w:sz w:val="32"/>
                <w:szCs w:val="32"/>
              </w:rPr>
              <w:t>http://xxgk.cupl.edu.cn/gkml.jsp?urltype=tree.TreeTempUrl&amp;wbtreeid=1058</w:t>
            </w:r>
            <w:r>
              <w:rPr>
                <w:rFonts w:hint="eastAsia" w:ascii="仿宋" w:hAnsi="仿宋" w:eastAsia="仿宋"/>
                <w:color w:val="auto"/>
                <w:kern w:val="0"/>
                <w:sz w:val="32"/>
                <w:szCs w:val="32"/>
              </w:rPr>
              <w:fldChar w:fldCharType="end"/>
            </w:r>
          </w:p>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http://xxgk.cupl.edu.cn/gkml.jsp?urltype=tree.TreeTempUrl&amp;wbtreeid=1059</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26</w:t>
            </w:r>
            <w:r>
              <w:rPr>
                <w:rFonts w:hint="eastAsia" w:ascii="仿宋" w:hAnsi="仿宋" w:eastAsia="仿宋"/>
                <w:kern w:val="0"/>
                <w:sz w:val="32"/>
                <w:szCs w:val="32"/>
              </w:rPr>
              <w:t>）教职工争议解决办法</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http://xxgk.cupl.edu.cn/gkml.jsp?urltype=tree.TreeTempUrl&amp;wbtreeid=1060</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5</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教学质量信息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9</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27</w:t>
            </w:r>
            <w:r>
              <w:rPr>
                <w:rFonts w:hint="eastAsia" w:ascii="仿宋" w:hAnsi="仿宋" w:eastAsia="仿宋"/>
                <w:kern w:val="0"/>
                <w:sz w:val="32"/>
                <w:szCs w:val="32"/>
              </w:rPr>
              <w:t>）本科生占全日制在校生总数的比例、教师数量及结构</w:t>
            </w:r>
          </w:p>
        </w:tc>
        <w:tc>
          <w:tcPr>
            <w:tcW w:w="709" w:type="dxa"/>
            <w:noWrap w:val="0"/>
            <w:vAlign w:val="center"/>
          </w:tcPr>
          <w:p>
            <w:pPr>
              <w:widowControl/>
              <w:spacing w:line="480" w:lineRule="exact"/>
              <w:jc w:val="center"/>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http://xxgk.cupl.edu.cn/gkml.jsp?urltype=tree.TreeTempUrl&amp;wbtreeid=1061</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28</w:t>
            </w:r>
            <w:r>
              <w:rPr>
                <w:rFonts w:hint="eastAsia" w:ascii="仿宋" w:hAnsi="仿宋" w:eastAsia="仿宋"/>
                <w:kern w:val="0"/>
                <w:sz w:val="32"/>
                <w:szCs w:val="32"/>
              </w:rPr>
              <w:t>）专业设置、当年新增专业、停招专业名单</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http://xxgk.cupl.edu.cn/gkml.jsp?urltype=tree.TreeTempUrl&amp;wbtreeid=1062</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29</w:t>
            </w:r>
            <w:r>
              <w:rPr>
                <w:rFonts w:hint="eastAsia" w:ascii="仿宋" w:hAnsi="仿宋" w:eastAsia="仿宋"/>
                <w:kern w:val="0"/>
                <w:sz w:val="32"/>
                <w:szCs w:val="32"/>
              </w:rPr>
              <w:t>）全校开设课程总门数、实践教学学分占总学分比例、选修课学分占总学分比例</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http://xxgk.cupl.edu.cn/gkml.jsp?urltype=tree.TreeTempUrl&amp;wbtreeid=1063</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30</w:t>
            </w:r>
            <w:r>
              <w:rPr>
                <w:rFonts w:hint="eastAsia" w:ascii="仿宋" w:hAnsi="仿宋" w:eastAsia="仿宋"/>
                <w:kern w:val="0"/>
                <w:sz w:val="32"/>
                <w:szCs w:val="32"/>
              </w:rPr>
              <w:t>）主讲本科课程的教授占教授总数的比例、教授授本科课程占课程总门次数的比例</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http://xxgk.cupl.edu.cn/gkml.jsp?urltype=tree.TreeTempUrl&amp;wbtreeid=1064</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31</w:t>
            </w:r>
            <w:r>
              <w:rPr>
                <w:rFonts w:hint="eastAsia" w:ascii="仿宋" w:hAnsi="仿宋" w:eastAsia="仿宋"/>
                <w:kern w:val="0"/>
                <w:sz w:val="32"/>
                <w:szCs w:val="32"/>
              </w:rPr>
              <w:t>）促进毕业生就业的政策措施和指导服务</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http://xxgk.cupl.edu.cn/gkml.jsp?urltype=tree.TreeTempUrl&amp;wbtreeid=1065</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32</w:t>
            </w:r>
            <w:r>
              <w:rPr>
                <w:rFonts w:hint="eastAsia" w:ascii="仿宋" w:hAnsi="仿宋" w:eastAsia="仿宋"/>
                <w:kern w:val="0"/>
                <w:sz w:val="32"/>
                <w:szCs w:val="32"/>
              </w:rPr>
              <w:t>）毕业生的规模、结构、就业率、就业流向</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http://xxgk.cupl.edu.cn/gkml.jsp?urltype=tree.TreeTempUrl&amp;wbtreeid=1066</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33</w:t>
            </w:r>
            <w:r>
              <w:rPr>
                <w:rFonts w:hint="eastAsia" w:ascii="仿宋" w:hAnsi="仿宋" w:eastAsia="仿宋"/>
                <w:kern w:val="0"/>
                <w:sz w:val="32"/>
                <w:szCs w:val="32"/>
              </w:rPr>
              <w:t>）高校毕业生就业质量年度报告</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http://xxgk.cupl.edu.cn/gkml.jsp?urltype=tree.TreeTempUrl&amp;wbtreeid=1067</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34</w:t>
            </w:r>
            <w:r>
              <w:rPr>
                <w:rFonts w:hint="eastAsia" w:ascii="仿宋" w:hAnsi="仿宋" w:eastAsia="仿宋"/>
                <w:kern w:val="0"/>
                <w:sz w:val="32"/>
                <w:szCs w:val="32"/>
              </w:rPr>
              <w:t>）艺术教育发展年度报告</w:t>
            </w:r>
          </w:p>
        </w:tc>
        <w:tc>
          <w:tcPr>
            <w:tcW w:w="709"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http://xxgk.cupl.edu.cn/gkml.jsp?urltype=tree.TreeTempUrl&amp;wbtreeid=1068</w:t>
            </w:r>
          </w:p>
        </w:tc>
        <w:tc>
          <w:tcPr>
            <w:tcW w:w="2127" w:type="dxa"/>
            <w:noWrap w:val="0"/>
            <w:vAlign w:val="center"/>
          </w:tcPr>
          <w:p>
            <w:pPr>
              <w:widowControl/>
              <w:spacing w:line="480" w:lineRule="exact"/>
              <w:jc w:val="center"/>
              <w:rPr>
                <w:rFonts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35</w:t>
            </w:r>
            <w:r>
              <w:rPr>
                <w:rFonts w:hint="eastAsia" w:ascii="仿宋" w:hAnsi="仿宋" w:eastAsia="仿宋"/>
                <w:kern w:val="0"/>
                <w:sz w:val="32"/>
                <w:szCs w:val="32"/>
              </w:rPr>
              <w:t>）本科教学质量报告</w:t>
            </w:r>
          </w:p>
        </w:tc>
        <w:tc>
          <w:tcPr>
            <w:tcW w:w="709"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http://xxgk.cupl.edu.cn/gkml.jsp?urltype=tree.TreeTempUrl&amp;wbtreeid=1069</w:t>
            </w:r>
          </w:p>
        </w:tc>
        <w:tc>
          <w:tcPr>
            <w:tcW w:w="2127" w:type="dxa"/>
            <w:noWrap w:val="0"/>
            <w:vAlign w:val="center"/>
          </w:tcPr>
          <w:p>
            <w:pPr>
              <w:widowControl/>
              <w:spacing w:line="480" w:lineRule="exact"/>
              <w:jc w:val="center"/>
              <w:rPr>
                <w:rFonts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6</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学生管理服务信息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4</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36</w:t>
            </w:r>
            <w:r>
              <w:rPr>
                <w:rFonts w:hint="eastAsia" w:ascii="仿宋" w:hAnsi="仿宋" w:eastAsia="仿宋"/>
                <w:kern w:val="0"/>
                <w:sz w:val="32"/>
                <w:szCs w:val="32"/>
              </w:rPr>
              <w:t>）学籍管理办法</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http://xxgk.cupl.edu.cn/gkml.jsp?urltype=tree.TreeTempUrl&amp;wbtreeid=1070</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37</w:t>
            </w:r>
            <w:r>
              <w:rPr>
                <w:rFonts w:hint="eastAsia" w:ascii="仿宋" w:hAnsi="仿宋" w:eastAsia="仿宋"/>
                <w:kern w:val="0"/>
                <w:sz w:val="32"/>
                <w:szCs w:val="32"/>
              </w:rPr>
              <w:t>）学生奖学金、助学金、学费减免、助学贷款、勤工俭学的申请与管理规定</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6</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http://xxgk.cupl.edu.cn/gkml.jsp?urltype=tree.TreeTempUrl&amp;wbtreeid=1071</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38</w:t>
            </w:r>
            <w:r>
              <w:rPr>
                <w:rFonts w:hint="eastAsia" w:ascii="仿宋" w:hAnsi="仿宋" w:eastAsia="仿宋"/>
                <w:kern w:val="0"/>
                <w:sz w:val="32"/>
                <w:szCs w:val="32"/>
              </w:rPr>
              <w:t>）学生奖励处罚办法</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http://xxgk.cupl.edu.cn/gkml.jsp?urltype=tree.TreeTempUrl&amp;wbtreeid=1072</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39</w:t>
            </w:r>
            <w:r>
              <w:rPr>
                <w:rFonts w:hint="eastAsia" w:ascii="仿宋" w:hAnsi="仿宋" w:eastAsia="仿宋"/>
                <w:kern w:val="0"/>
                <w:sz w:val="32"/>
                <w:szCs w:val="32"/>
              </w:rPr>
              <w:t>）学生申诉办法</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http://xxgk.cupl.edu.cn/gkml.jsp?urltype=tree.TreeTempUrl&amp;wbtreeid=1073</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7</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学风建设信息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3</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40</w:t>
            </w:r>
            <w:r>
              <w:rPr>
                <w:rFonts w:hint="eastAsia" w:ascii="仿宋" w:hAnsi="仿宋" w:eastAsia="仿宋"/>
                <w:kern w:val="0"/>
                <w:sz w:val="32"/>
                <w:szCs w:val="32"/>
              </w:rPr>
              <w:t>）学风建设机构</w:t>
            </w:r>
          </w:p>
        </w:tc>
        <w:tc>
          <w:tcPr>
            <w:tcW w:w="709"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0</w:t>
            </w:r>
          </w:p>
        </w:tc>
        <w:tc>
          <w:tcPr>
            <w:tcW w:w="4394"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http://xxgk.cupl.edu.cn/gkml.jsp?urltype=tree.TreeTempUrl&amp;wbtreeid=1074</w:t>
            </w:r>
          </w:p>
        </w:tc>
        <w:tc>
          <w:tcPr>
            <w:tcW w:w="2127"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41</w:t>
            </w:r>
            <w:r>
              <w:rPr>
                <w:rFonts w:hint="eastAsia" w:ascii="仿宋" w:hAnsi="仿宋" w:eastAsia="仿宋"/>
                <w:kern w:val="0"/>
                <w:sz w:val="32"/>
                <w:szCs w:val="32"/>
              </w:rPr>
              <w:t>）学术规范制度</w:t>
            </w:r>
          </w:p>
        </w:tc>
        <w:tc>
          <w:tcPr>
            <w:tcW w:w="709"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0</w:t>
            </w:r>
          </w:p>
        </w:tc>
        <w:tc>
          <w:tcPr>
            <w:tcW w:w="4394"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http://xxgk.cupl.edu.cn/gkml.jsp?urltype=tree.TreeTempUrl&amp;wbtreeid=1075</w:t>
            </w:r>
          </w:p>
        </w:tc>
        <w:tc>
          <w:tcPr>
            <w:tcW w:w="2127"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42</w:t>
            </w:r>
            <w:r>
              <w:rPr>
                <w:rFonts w:hint="eastAsia" w:ascii="仿宋" w:hAnsi="仿宋" w:eastAsia="仿宋"/>
                <w:kern w:val="0"/>
                <w:sz w:val="32"/>
                <w:szCs w:val="32"/>
              </w:rPr>
              <w:t>）学术不端行为查处机制</w:t>
            </w:r>
          </w:p>
        </w:tc>
        <w:tc>
          <w:tcPr>
            <w:tcW w:w="709"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0</w:t>
            </w:r>
          </w:p>
        </w:tc>
        <w:tc>
          <w:tcPr>
            <w:tcW w:w="4394"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cs="宋体"/>
                <w:kern w:val="0"/>
                <w:sz w:val="32"/>
                <w:szCs w:val="32"/>
              </w:rPr>
              <w:t>http://xxgk.cupl.edu.cn/gkml.jsp?urltype=tree.TreeTempUrl&amp;wbtreeid=1076</w:t>
            </w:r>
          </w:p>
        </w:tc>
        <w:tc>
          <w:tcPr>
            <w:tcW w:w="2127" w:type="dxa"/>
            <w:noWrap w:val="0"/>
            <w:vAlign w:val="center"/>
          </w:tcPr>
          <w:p>
            <w:pPr>
              <w:widowControl/>
              <w:spacing w:line="480" w:lineRule="exact"/>
              <w:jc w:val="center"/>
              <w:rPr>
                <w:rFonts w:hint="eastAsia" w:ascii="仿宋" w:hAnsi="仿宋" w:eastAsia="仿宋" w:cs="宋体"/>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8</w:t>
            </w:r>
          </w:p>
        </w:tc>
        <w:tc>
          <w:tcPr>
            <w:tcW w:w="1276" w:type="dxa"/>
            <w:vMerge w:val="restart"/>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学位、学科</w:t>
            </w:r>
          </w:p>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4</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43</w:t>
            </w:r>
            <w:r>
              <w:rPr>
                <w:rFonts w:hint="eastAsia" w:ascii="仿宋" w:hAnsi="仿宋" w:eastAsia="仿宋"/>
                <w:kern w:val="0"/>
                <w:sz w:val="32"/>
                <w:szCs w:val="32"/>
              </w:rPr>
              <w:t>）授予博士、硕士、学士学位的基本要求</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http://xxgk.cupl.edu.cn/gkml.jsp?urltype=tree.TreeTempUrl&amp;wbtreeid=1077</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44</w:t>
            </w:r>
            <w:r>
              <w:rPr>
                <w:rFonts w:hint="eastAsia" w:ascii="仿宋" w:hAnsi="仿宋" w:eastAsia="仿宋"/>
                <w:kern w:val="0"/>
                <w:sz w:val="32"/>
                <w:szCs w:val="32"/>
              </w:rPr>
              <w:t>）拟授予硕士、博士学位同等学力人员资格审查和学力水平认定</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http://xxgk.cupl.edu.cn/gkml.jsp?urltype=tree.TreeTempUrl&amp;wbtreeid=1078</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45</w:t>
            </w:r>
            <w:r>
              <w:rPr>
                <w:rFonts w:hint="eastAsia" w:ascii="仿宋" w:hAnsi="仿宋" w:eastAsia="仿宋"/>
                <w:kern w:val="0"/>
                <w:sz w:val="32"/>
                <w:szCs w:val="32"/>
              </w:rPr>
              <w:t>）新增硕士、博士学位授权学科或专业学位授权点审核办法</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http://xxgk.cupl.edu.cn/gkml.jsp?urltype=tree.TreeTempUrl&amp;wbtreeid=1079</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46</w:t>
            </w:r>
            <w:r>
              <w:rPr>
                <w:rFonts w:hint="eastAsia" w:ascii="仿宋" w:hAnsi="仿宋" w:eastAsia="仿宋"/>
                <w:kern w:val="0"/>
                <w:sz w:val="32"/>
                <w:szCs w:val="32"/>
              </w:rPr>
              <w:t>）拟新增学位授权学科或专业学位授权点的申报及论证材料</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http://xxgk.cupl.edu.cn/gkml.jsp?urltype=tree.TreeTempUrl&amp;wbtreeid=1080</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ascii="仿宋" w:hAnsi="仿宋" w:eastAsia="仿宋"/>
                <w:kern w:val="0"/>
                <w:sz w:val="32"/>
                <w:szCs w:val="32"/>
              </w:rPr>
            </w:pPr>
            <w:r>
              <w:rPr>
                <w:rFonts w:ascii="仿宋" w:hAnsi="仿宋" w:eastAsia="仿宋"/>
                <w:kern w:val="0"/>
                <w:sz w:val="32"/>
                <w:szCs w:val="32"/>
              </w:rPr>
              <w:t>9</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对外交流与合作信息</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2</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47</w:t>
            </w:r>
            <w:r>
              <w:rPr>
                <w:rFonts w:hint="eastAsia" w:ascii="仿宋" w:hAnsi="仿宋" w:eastAsia="仿宋"/>
                <w:kern w:val="0"/>
                <w:sz w:val="32"/>
                <w:szCs w:val="32"/>
              </w:rPr>
              <w:t>）中外合作办学情况</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http://xxgk.cupl.edu.cn/gkml.jsp?urltype=tree.TreeTempUrl&amp;wbtreeid=1081</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48</w:t>
            </w:r>
            <w:r>
              <w:rPr>
                <w:rFonts w:hint="eastAsia" w:ascii="仿宋" w:hAnsi="仿宋" w:eastAsia="仿宋"/>
                <w:kern w:val="0"/>
                <w:sz w:val="32"/>
                <w:szCs w:val="32"/>
              </w:rPr>
              <w:t>）来华留学生管理相关规定</w:t>
            </w:r>
          </w:p>
        </w:tc>
        <w:tc>
          <w:tcPr>
            <w:tcW w:w="709"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http://xxgk.cupl.edu.cn/gkml.jsp?urltype=tree.TreeTempUrl&amp;wbtreeid=1082</w:t>
            </w:r>
          </w:p>
        </w:tc>
        <w:tc>
          <w:tcPr>
            <w:tcW w:w="2127"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restart"/>
            <w:noWrap w:val="0"/>
            <w:vAlign w:val="center"/>
          </w:tcPr>
          <w:p>
            <w:pPr>
              <w:widowControl/>
              <w:spacing w:line="520" w:lineRule="atLeast"/>
              <w:jc w:val="center"/>
              <w:rPr>
                <w:rFonts w:hint="eastAsia" w:ascii="仿宋" w:hAnsi="仿宋" w:eastAsia="仿宋"/>
                <w:kern w:val="0"/>
                <w:sz w:val="32"/>
                <w:szCs w:val="32"/>
              </w:rPr>
            </w:pPr>
            <w:r>
              <w:rPr>
                <w:rFonts w:hint="eastAsia" w:ascii="仿宋" w:hAnsi="仿宋" w:eastAsia="仿宋"/>
                <w:kern w:val="0"/>
                <w:sz w:val="32"/>
                <w:szCs w:val="32"/>
              </w:rPr>
              <w:t>10</w:t>
            </w:r>
          </w:p>
        </w:tc>
        <w:tc>
          <w:tcPr>
            <w:tcW w:w="1276" w:type="dxa"/>
            <w:vMerge w:val="restart"/>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其他</w:t>
            </w:r>
            <w:r>
              <w:rPr>
                <w:rFonts w:hint="eastAsia" w:ascii="仿宋" w:hAnsi="仿宋" w:eastAsia="仿宋"/>
                <w:kern w:val="0"/>
                <w:sz w:val="32"/>
                <w:szCs w:val="32"/>
              </w:rPr>
              <w:br w:type="textWrapping"/>
            </w:r>
            <w:r>
              <w:rPr>
                <w:rFonts w:hint="eastAsia" w:ascii="仿宋" w:hAnsi="仿宋" w:eastAsia="仿宋"/>
                <w:kern w:val="0"/>
                <w:sz w:val="32"/>
                <w:szCs w:val="32"/>
              </w:rPr>
              <w:t>（</w:t>
            </w:r>
            <w:r>
              <w:rPr>
                <w:rFonts w:ascii="仿宋" w:hAnsi="仿宋" w:eastAsia="仿宋"/>
                <w:kern w:val="0"/>
                <w:sz w:val="32"/>
                <w:szCs w:val="32"/>
              </w:rPr>
              <w:t>2</w:t>
            </w:r>
            <w:r>
              <w:rPr>
                <w:rFonts w:hint="eastAsia" w:ascii="仿宋" w:hAnsi="仿宋" w:eastAsia="仿宋"/>
                <w:kern w:val="0"/>
                <w:sz w:val="32"/>
                <w:szCs w:val="32"/>
              </w:rPr>
              <w:t>项）</w:t>
            </w: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49</w:t>
            </w:r>
            <w:r>
              <w:rPr>
                <w:rFonts w:hint="eastAsia" w:ascii="仿宋" w:hAnsi="仿宋" w:eastAsia="仿宋"/>
                <w:kern w:val="0"/>
                <w:sz w:val="32"/>
                <w:szCs w:val="32"/>
              </w:rPr>
              <w:t>）巡视组反馈意见，落实反馈意见整改情况</w:t>
            </w:r>
          </w:p>
        </w:tc>
        <w:tc>
          <w:tcPr>
            <w:tcW w:w="709"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1</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http://xxgk.cupl.edu.cn/gkml.jsp?urltype=tree.TreeTempUrl&amp;wbtreeid=1085</w:t>
            </w:r>
          </w:p>
        </w:tc>
        <w:tc>
          <w:tcPr>
            <w:tcW w:w="2127" w:type="dxa"/>
            <w:noWrap w:val="0"/>
            <w:vAlign w:val="center"/>
          </w:tcPr>
          <w:p>
            <w:pPr>
              <w:widowControl/>
              <w:spacing w:line="480" w:lineRule="exact"/>
              <w:jc w:val="center"/>
              <w:rPr>
                <w:rFonts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Merge w:val="continue"/>
            <w:noWrap w:val="0"/>
            <w:vAlign w:val="center"/>
          </w:tcPr>
          <w:p>
            <w:pPr>
              <w:widowControl/>
              <w:spacing w:line="520" w:lineRule="atLeast"/>
              <w:jc w:val="left"/>
              <w:rPr>
                <w:rFonts w:ascii="仿宋" w:hAnsi="仿宋" w:eastAsia="仿宋"/>
                <w:kern w:val="0"/>
                <w:sz w:val="32"/>
                <w:szCs w:val="32"/>
              </w:rPr>
            </w:pPr>
          </w:p>
        </w:tc>
        <w:tc>
          <w:tcPr>
            <w:tcW w:w="1276" w:type="dxa"/>
            <w:vMerge w:val="continue"/>
            <w:noWrap w:val="0"/>
            <w:vAlign w:val="center"/>
          </w:tcPr>
          <w:p>
            <w:pPr>
              <w:widowControl/>
              <w:spacing w:line="480" w:lineRule="exact"/>
              <w:jc w:val="left"/>
              <w:rPr>
                <w:rFonts w:ascii="仿宋" w:hAnsi="仿宋" w:eastAsia="仿宋"/>
                <w:kern w:val="0"/>
                <w:sz w:val="32"/>
                <w:szCs w:val="32"/>
              </w:rPr>
            </w:pPr>
          </w:p>
        </w:tc>
        <w:tc>
          <w:tcPr>
            <w:tcW w:w="4961" w:type="dxa"/>
            <w:noWrap w:val="0"/>
            <w:vAlign w:val="center"/>
          </w:tcPr>
          <w:p>
            <w:pPr>
              <w:widowControl/>
              <w:spacing w:line="480" w:lineRule="exact"/>
              <w:jc w:val="left"/>
              <w:rPr>
                <w:rFonts w:ascii="仿宋" w:hAnsi="仿宋" w:eastAsia="仿宋"/>
                <w:kern w:val="0"/>
                <w:sz w:val="32"/>
                <w:szCs w:val="32"/>
              </w:rPr>
            </w:pPr>
            <w:r>
              <w:rPr>
                <w:rFonts w:hint="eastAsia" w:ascii="仿宋" w:hAnsi="仿宋" w:eastAsia="仿宋"/>
                <w:kern w:val="0"/>
                <w:sz w:val="32"/>
                <w:szCs w:val="32"/>
              </w:rPr>
              <w:t>（</w:t>
            </w:r>
            <w:r>
              <w:rPr>
                <w:rFonts w:ascii="仿宋" w:hAnsi="仿宋" w:eastAsia="仿宋"/>
                <w:kern w:val="0"/>
                <w:sz w:val="32"/>
                <w:szCs w:val="32"/>
              </w:rPr>
              <w:t>50</w:t>
            </w:r>
            <w:r>
              <w:rPr>
                <w:rFonts w:hint="eastAsia" w:ascii="仿宋" w:hAnsi="仿宋" w:eastAsia="仿宋"/>
                <w:kern w:val="0"/>
                <w:sz w:val="32"/>
                <w:szCs w:val="32"/>
              </w:rPr>
              <w:t>）自然灾害等突发事件的应急处理预案、预警信息和处置情况，涉及学校的重大事件的调查和处理情况</w:t>
            </w:r>
          </w:p>
        </w:tc>
        <w:tc>
          <w:tcPr>
            <w:tcW w:w="709"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0</w:t>
            </w:r>
          </w:p>
        </w:tc>
        <w:tc>
          <w:tcPr>
            <w:tcW w:w="4394"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http://xxgk.cupl.edu.cn/gkml.jsp?urltype=tree.TreeTempUrl&amp;wbtreeid=1086</w:t>
            </w:r>
          </w:p>
        </w:tc>
        <w:tc>
          <w:tcPr>
            <w:tcW w:w="2127" w:type="dxa"/>
            <w:noWrap w:val="0"/>
            <w:vAlign w:val="center"/>
          </w:tcPr>
          <w:p>
            <w:pPr>
              <w:widowControl/>
              <w:spacing w:line="480" w:lineRule="exact"/>
              <w:jc w:val="center"/>
              <w:rPr>
                <w:rFonts w:ascii="仿宋" w:hAnsi="仿宋" w:eastAsia="仿宋"/>
                <w:kern w:val="0"/>
                <w:sz w:val="32"/>
                <w:szCs w:val="32"/>
              </w:rPr>
            </w:pPr>
            <w:r>
              <w:rPr>
                <w:rFonts w:hint="eastAsia" w:ascii="仿宋" w:hAnsi="仿宋" w:eastAsia="仿宋"/>
                <w:kern w:val="0"/>
                <w:sz w:val="32"/>
                <w:szCs w:val="32"/>
              </w:rPr>
              <w:t>已经发布。统计时间内没有变化，故没有更新数据。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noWrap w:val="0"/>
            <w:vAlign w:val="center"/>
          </w:tcPr>
          <w:p>
            <w:pPr>
              <w:widowControl/>
              <w:spacing w:line="520" w:lineRule="atLeast"/>
              <w:jc w:val="center"/>
              <w:rPr>
                <w:rFonts w:hint="eastAsia" w:ascii="仿宋" w:hAnsi="仿宋" w:eastAsia="仿宋"/>
                <w:kern w:val="0"/>
                <w:sz w:val="32"/>
                <w:szCs w:val="32"/>
              </w:rPr>
            </w:pPr>
            <w:r>
              <w:rPr>
                <w:rFonts w:hint="eastAsia" w:ascii="仿宋" w:hAnsi="仿宋" w:eastAsia="仿宋"/>
                <w:kern w:val="0"/>
                <w:sz w:val="32"/>
                <w:szCs w:val="32"/>
              </w:rPr>
              <w:t>11</w:t>
            </w:r>
          </w:p>
        </w:tc>
        <w:tc>
          <w:tcPr>
            <w:tcW w:w="1276"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党务</w:t>
            </w:r>
          </w:p>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公开</w:t>
            </w:r>
          </w:p>
        </w:tc>
        <w:tc>
          <w:tcPr>
            <w:tcW w:w="4961" w:type="dxa"/>
            <w:noWrap w:val="0"/>
            <w:vAlign w:val="center"/>
          </w:tcPr>
          <w:p>
            <w:pPr>
              <w:spacing w:line="480" w:lineRule="exact"/>
              <w:rPr>
                <w:rFonts w:hint="eastAsia" w:ascii="仿宋" w:hAnsi="仿宋" w:eastAsia="仿宋"/>
                <w:kern w:val="0"/>
                <w:sz w:val="32"/>
                <w:szCs w:val="32"/>
              </w:rPr>
            </w:pPr>
            <w:r>
              <w:rPr>
                <w:rFonts w:hint="eastAsia" w:ascii="仿宋" w:hAnsi="仿宋" w:eastAsia="仿宋"/>
                <w:kern w:val="0"/>
                <w:sz w:val="32"/>
                <w:szCs w:val="32"/>
              </w:rPr>
              <w:t>（51）党的基层组织建设、党风廉政建设等</w:t>
            </w:r>
          </w:p>
        </w:tc>
        <w:tc>
          <w:tcPr>
            <w:tcW w:w="709" w:type="dxa"/>
            <w:noWrap w:val="0"/>
            <w:vAlign w:val="center"/>
          </w:tcPr>
          <w:p>
            <w:pPr>
              <w:widowControl/>
              <w:spacing w:line="480" w:lineRule="exact"/>
              <w:jc w:val="center"/>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10</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http://xxgk.cupl.edu.cn/gkml.jsp?urltype=tree.TreeTempUrl&amp;wbtreeid=1083</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noWrap w:val="0"/>
            <w:vAlign w:val="center"/>
          </w:tcPr>
          <w:p>
            <w:pPr>
              <w:widowControl/>
              <w:spacing w:line="520" w:lineRule="atLeast"/>
              <w:jc w:val="center"/>
              <w:rPr>
                <w:rFonts w:hint="eastAsia" w:ascii="仿宋" w:hAnsi="仿宋" w:eastAsia="仿宋"/>
                <w:kern w:val="0"/>
                <w:sz w:val="32"/>
                <w:szCs w:val="32"/>
              </w:rPr>
            </w:pPr>
            <w:r>
              <w:rPr>
                <w:rFonts w:hint="eastAsia" w:ascii="仿宋" w:hAnsi="仿宋" w:eastAsia="仿宋"/>
                <w:kern w:val="0"/>
                <w:sz w:val="32"/>
                <w:szCs w:val="32"/>
              </w:rPr>
              <w:t>12</w:t>
            </w:r>
          </w:p>
        </w:tc>
        <w:tc>
          <w:tcPr>
            <w:tcW w:w="1276"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后勤</w:t>
            </w:r>
          </w:p>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保障</w:t>
            </w:r>
          </w:p>
        </w:tc>
        <w:tc>
          <w:tcPr>
            <w:tcW w:w="4961" w:type="dxa"/>
            <w:noWrap w:val="0"/>
            <w:vAlign w:val="center"/>
          </w:tcPr>
          <w:p>
            <w:pPr>
              <w:spacing w:line="480" w:lineRule="exact"/>
              <w:rPr>
                <w:rFonts w:hint="eastAsia" w:ascii="仿宋" w:hAnsi="仿宋" w:eastAsia="仿宋"/>
                <w:kern w:val="0"/>
                <w:sz w:val="32"/>
                <w:szCs w:val="32"/>
              </w:rPr>
            </w:pPr>
            <w:r>
              <w:rPr>
                <w:rFonts w:hint="eastAsia" w:ascii="仿宋" w:hAnsi="仿宋" w:eastAsia="仿宋"/>
                <w:kern w:val="0"/>
                <w:sz w:val="32"/>
                <w:szCs w:val="32"/>
              </w:rPr>
              <w:t>（52）校园提示、后勤维修改造招投标公示等</w:t>
            </w:r>
          </w:p>
        </w:tc>
        <w:tc>
          <w:tcPr>
            <w:tcW w:w="709" w:type="dxa"/>
            <w:noWrap w:val="0"/>
            <w:vAlign w:val="center"/>
          </w:tcPr>
          <w:p>
            <w:pPr>
              <w:widowControl/>
              <w:spacing w:line="480" w:lineRule="exact"/>
              <w:jc w:val="center"/>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3</w:t>
            </w:r>
          </w:p>
        </w:tc>
        <w:tc>
          <w:tcPr>
            <w:tcW w:w="4394" w:type="dxa"/>
            <w:noWrap w:val="0"/>
            <w:vAlign w:val="center"/>
          </w:tcPr>
          <w:p>
            <w:pPr>
              <w:widowControl/>
              <w:spacing w:line="480" w:lineRule="exact"/>
              <w:jc w:val="center"/>
              <w:rPr>
                <w:rFonts w:hint="eastAsia" w:ascii="仿宋" w:hAnsi="仿宋" w:eastAsia="仿宋"/>
                <w:kern w:val="0"/>
                <w:sz w:val="32"/>
                <w:szCs w:val="32"/>
              </w:rPr>
            </w:pPr>
            <w:r>
              <w:rPr>
                <w:rFonts w:hint="eastAsia" w:ascii="仿宋" w:hAnsi="仿宋" w:eastAsia="仿宋"/>
                <w:kern w:val="0"/>
                <w:sz w:val="32"/>
                <w:szCs w:val="32"/>
              </w:rPr>
              <w:t>http://xxgk.cupl.edu.cn/gkml.jsp?urltype=tree.TreeTempUrl&amp;wbtreeid=1084</w:t>
            </w:r>
          </w:p>
        </w:tc>
        <w:tc>
          <w:tcPr>
            <w:tcW w:w="2127" w:type="dxa"/>
            <w:noWrap w:val="0"/>
            <w:vAlign w:val="center"/>
          </w:tcPr>
          <w:p>
            <w:pPr>
              <w:widowControl/>
              <w:spacing w:line="480" w:lineRule="exact"/>
              <w:jc w:val="center"/>
              <w:rPr>
                <w:rFonts w:hint="eastAsia" w:ascii="仿宋" w:hAnsi="仿宋" w:eastAsia="仿宋"/>
                <w:kern w:val="0"/>
                <w:sz w:val="32"/>
                <w:szCs w:val="32"/>
              </w:rPr>
            </w:pPr>
          </w:p>
        </w:tc>
      </w:tr>
    </w:tbl>
    <w:p>
      <w:pPr>
        <w:spacing w:line="520" w:lineRule="atLeast"/>
        <w:rPr>
          <w:rFonts w:hint="eastAsia" w:ascii="黑体" w:hAnsi="黑体" w:eastAsia="仿宋" w:cs="仿宋_GB2312"/>
          <w:sz w:val="32"/>
          <w:szCs w:val="32"/>
          <w:lang w:eastAsia="zh-CN"/>
        </w:rPr>
        <w:sectPr>
          <w:footerReference r:id="rId5" w:type="default"/>
          <w:footerReference r:id="rId6" w:type="even"/>
          <w:type w:val="continuous"/>
          <w:pgSz w:w="16838" w:h="11906" w:orient="landscape"/>
          <w:pgMar w:top="1587" w:right="2098" w:bottom="1474" w:left="1588" w:header="851" w:footer="992" w:gutter="0"/>
          <w:pgNumType w:fmt="numberInDash"/>
          <w:cols w:space="0" w:num="1"/>
          <w:rtlGutter w:val="0"/>
          <w:docGrid w:type="lines" w:linePitch="384" w:charSpace="0"/>
        </w:sectPr>
      </w:pPr>
      <w:r>
        <w:rPr>
          <w:rFonts w:hint="eastAsia" w:ascii="仿宋" w:hAnsi="仿宋" w:eastAsia="仿宋"/>
          <w:kern w:val="0"/>
          <w:sz w:val="24"/>
        </w:rPr>
        <w:t>注：本表统计数据是根据《教育部关于公布&lt;高等学校信息公开事项清单&gt;的通知》要求，对学校公开的信息进行的分类统计，未包含学校各二级单位公开的全部信息</w:t>
      </w:r>
      <w:r>
        <w:rPr>
          <w:rFonts w:hint="eastAsia" w:ascii="仿宋" w:hAnsi="仿宋"/>
          <w:kern w:val="0"/>
          <w:sz w:val="24"/>
          <w:lang w:eastAsia="zh-CN"/>
        </w:rPr>
        <w:t>。</w:t>
      </w:r>
    </w:p>
    <w:p>
      <w:pPr>
        <w:spacing w:line="640" w:lineRule="exact"/>
        <w:rPr>
          <w:rFonts w:ascii="楷体" w:hAnsi="楷体" w:eastAsia="楷体" w:cs="楷体"/>
          <w:bCs/>
          <w:sz w:val="32"/>
          <w:szCs w:val="32"/>
        </w:rPr>
      </w:pPr>
      <w:bookmarkStart w:id="0" w:name="_GoBack"/>
      <w:bookmarkEnd w:id="0"/>
    </w:p>
    <w:sectPr>
      <w:footerReference r:id="rId7" w:type="default"/>
      <w:footerReference r:id="rId8" w:type="even"/>
      <w:type w:val="continuous"/>
      <w:pgSz w:w="11906" w:h="16838"/>
      <w:pgMar w:top="2098" w:right="1474" w:bottom="1587" w:left="1587" w:header="851" w:footer="992" w:gutter="0"/>
      <w:pgNumType w:fmt="numberInDash"/>
      <w:cols w:space="0" w:num="1"/>
      <w:rtlGutter w:val="0"/>
      <w:docGrid w:type="lines" w:linePitch="3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7980" w:firstLineChars="2850"/>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6 -</w:t>
    </w:r>
    <w:r>
      <w:rPr>
        <w:rFonts w:ascii="宋体" w:hAnsi="宋体" w:eastAsia="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5130" w:firstLineChars="2850"/>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7980" w:firstLineChars="2850"/>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4"/>
                      <w:ind w:firstLine="7980" w:firstLineChars="2850"/>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both"/>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6 -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v:fill on="f" focussize="0,0"/>
              <v:stroke on="f" weight="0.5pt"/>
              <v:imagedata o:title=""/>
              <o:lock v:ext="edit" aspectratio="f"/>
              <v:textbox inset="0mm,0mm,0mm,0mm" style="mso-fit-shape-to-text:t;">
                <w:txbxContent>
                  <w:p>
                    <w:pPr>
                      <w:pStyle w:val="4"/>
                      <w:jc w:val="both"/>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6 -</w:t>
                    </w:r>
                    <w:r>
                      <w:rPr>
                        <w:rFonts w:ascii="宋体" w:hAnsi="宋体" w:eastAsia="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5130" w:firstLineChars="285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B1C457"/>
    <w:multiLevelType w:val="singleLevel"/>
    <w:tmpl w:val="AAB1C457"/>
    <w:lvl w:ilvl="0" w:tentative="0">
      <w:start w:val="6"/>
      <w:numFmt w:val="chineseCounting"/>
      <w:suff w:val="nothing"/>
      <w:lvlText w:val="%1、"/>
      <w:lvlJc w:val="left"/>
      <w:rPr>
        <w:rFonts w:hint="eastAsia"/>
      </w:rPr>
    </w:lvl>
  </w:abstractNum>
  <w:abstractNum w:abstractNumId="1">
    <w:nsid w:val="F72EC899"/>
    <w:multiLevelType w:val="singleLevel"/>
    <w:tmpl w:val="F72EC899"/>
    <w:lvl w:ilvl="0" w:tentative="0">
      <w:start w:val="8"/>
      <w:numFmt w:val="chineseCounting"/>
      <w:suff w:val="nothing"/>
      <w:lvlText w:val="%1、"/>
      <w:lvlJc w:val="left"/>
      <w:rPr>
        <w:rFonts w:hint="eastAsia"/>
      </w:rPr>
    </w:lvl>
  </w:abstractNum>
  <w:abstractNum w:abstractNumId="2">
    <w:nsid w:val="6244CF77"/>
    <w:multiLevelType w:val="singleLevel"/>
    <w:tmpl w:val="6244CF77"/>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40"/>
  <w:drawingGridVerticalSpacing w:val="1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5B3"/>
    <w:rsid w:val="00040078"/>
    <w:rsid w:val="00066647"/>
    <w:rsid w:val="000C457F"/>
    <w:rsid w:val="00137A0E"/>
    <w:rsid w:val="001C1306"/>
    <w:rsid w:val="001D4DE3"/>
    <w:rsid w:val="001E77A8"/>
    <w:rsid w:val="00216860"/>
    <w:rsid w:val="002775B3"/>
    <w:rsid w:val="002A468E"/>
    <w:rsid w:val="002B76CD"/>
    <w:rsid w:val="002C1853"/>
    <w:rsid w:val="002F393E"/>
    <w:rsid w:val="00382CFC"/>
    <w:rsid w:val="003B36FD"/>
    <w:rsid w:val="003D1C3F"/>
    <w:rsid w:val="003E0641"/>
    <w:rsid w:val="003E4E48"/>
    <w:rsid w:val="0043776A"/>
    <w:rsid w:val="004458EE"/>
    <w:rsid w:val="0045066F"/>
    <w:rsid w:val="00496418"/>
    <w:rsid w:val="0049774D"/>
    <w:rsid w:val="004A6CC9"/>
    <w:rsid w:val="004B1353"/>
    <w:rsid w:val="004D0070"/>
    <w:rsid w:val="00522F4C"/>
    <w:rsid w:val="00555225"/>
    <w:rsid w:val="00583FCA"/>
    <w:rsid w:val="00600CD7"/>
    <w:rsid w:val="0061507A"/>
    <w:rsid w:val="006E7C7F"/>
    <w:rsid w:val="006F0977"/>
    <w:rsid w:val="006F2E66"/>
    <w:rsid w:val="007002A9"/>
    <w:rsid w:val="007276C2"/>
    <w:rsid w:val="00762940"/>
    <w:rsid w:val="007751EE"/>
    <w:rsid w:val="007777A9"/>
    <w:rsid w:val="007C3893"/>
    <w:rsid w:val="007E68AF"/>
    <w:rsid w:val="00812F2F"/>
    <w:rsid w:val="008641E8"/>
    <w:rsid w:val="0088739C"/>
    <w:rsid w:val="00890D98"/>
    <w:rsid w:val="008B6E93"/>
    <w:rsid w:val="008C34F6"/>
    <w:rsid w:val="009054D7"/>
    <w:rsid w:val="009256E4"/>
    <w:rsid w:val="00947FD4"/>
    <w:rsid w:val="0098551C"/>
    <w:rsid w:val="00993685"/>
    <w:rsid w:val="009B6CB1"/>
    <w:rsid w:val="00A22CF7"/>
    <w:rsid w:val="00A23602"/>
    <w:rsid w:val="00A2494D"/>
    <w:rsid w:val="00A53CAE"/>
    <w:rsid w:val="00A5697B"/>
    <w:rsid w:val="00A70EB5"/>
    <w:rsid w:val="00AA7FD8"/>
    <w:rsid w:val="00B04338"/>
    <w:rsid w:val="00B45D7F"/>
    <w:rsid w:val="00B70CBD"/>
    <w:rsid w:val="00B87FB1"/>
    <w:rsid w:val="00BA0333"/>
    <w:rsid w:val="00BB5E23"/>
    <w:rsid w:val="00BB7120"/>
    <w:rsid w:val="00BD0881"/>
    <w:rsid w:val="00BF03AE"/>
    <w:rsid w:val="00C01BCB"/>
    <w:rsid w:val="00C1288A"/>
    <w:rsid w:val="00C833C3"/>
    <w:rsid w:val="00D1300C"/>
    <w:rsid w:val="00D343E2"/>
    <w:rsid w:val="00D351BC"/>
    <w:rsid w:val="00D52265"/>
    <w:rsid w:val="00D750FD"/>
    <w:rsid w:val="00DE72DC"/>
    <w:rsid w:val="00DF0EE7"/>
    <w:rsid w:val="00E13F61"/>
    <w:rsid w:val="00E430DA"/>
    <w:rsid w:val="00E611D4"/>
    <w:rsid w:val="00E6487D"/>
    <w:rsid w:val="00F37276"/>
    <w:rsid w:val="00F435CA"/>
    <w:rsid w:val="00F775CB"/>
    <w:rsid w:val="00FB185D"/>
    <w:rsid w:val="00FD171E"/>
    <w:rsid w:val="00FD7DBA"/>
    <w:rsid w:val="00FE7945"/>
    <w:rsid w:val="00FF476C"/>
    <w:rsid w:val="02B53794"/>
    <w:rsid w:val="032F759D"/>
    <w:rsid w:val="0530033E"/>
    <w:rsid w:val="09C42213"/>
    <w:rsid w:val="0A2A58C5"/>
    <w:rsid w:val="0A4F5F2A"/>
    <w:rsid w:val="0BD7489A"/>
    <w:rsid w:val="0C354F05"/>
    <w:rsid w:val="0F2C10AA"/>
    <w:rsid w:val="177A46EF"/>
    <w:rsid w:val="18B578B4"/>
    <w:rsid w:val="1A7E7BF5"/>
    <w:rsid w:val="1B986515"/>
    <w:rsid w:val="1DEF30C8"/>
    <w:rsid w:val="22A405AD"/>
    <w:rsid w:val="257350A3"/>
    <w:rsid w:val="25C764A6"/>
    <w:rsid w:val="26807414"/>
    <w:rsid w:val="31873212"/>
    <w:rsid w:val="35FD2642"/>
    <w:rsid w:val="369C21A0"/>
    <w:rsid w:val="38630C80"/>
    <w:rsid w:val="3C79780D"/>
    <w:rsid w:val="3FB043A6"/>
    <w:rsid w:val="42274BBA"/>
    <w:rsid w:val="43AB20C9"/>
    <w:rsid w:val="478D5F1E"/>
    <w:rsid w:val="47FE57A3"/>
    <w:rsid w:val="49913F42"/>
    <w:rsid w:val="4A655E76"/>
    <w:rsid w:val="4A8004D6"/>
    <w:rsid w:val="4B161F9E"/>
    <w:rsid w:val="4C013800"/>
    <w:rsid w:val="5042233A"/>
    <w:rsid w:val="521E5A48"/>
    <w:rsid w:val="5360629A"/>
    <w:rsid w:val="59B93C5E"/>
    <w:rsid w:val="5A3B5EE9"/>
    <w:rsid w:val="5BB2549A"/>
    <w:rsid w:val="5CDC0DC2"/>
    <w:rsid w:val="62E40C27"/>
    <w:rsid w:val="653B5FA8"/>
    <w:rsid w:val="6A4B14B4"/>
    <w:rsid w:val="6AF20DFD"/>
    <w:rsid w:val="6B4D229A"/>
    <w:rsid w:val="6BDF553F"/>
    <w:rsid w:val="6C126388"/>
    <w:rsid w:val="6D11742F"/>
    <w:rsid w:val="733173E1"/>
    <w:rsid w:val="73F110D3"/>
    <w:rsid w:val="77DA223E"/>
    <w:rsid w:val="7C154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28"/>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cstheme="minorBidi"/>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rFonts w:cstheme="minorBidi"/>
      <w:sz w:val="18"/>
      <w:szCs w:val="18"/>
    </w:rPr>
  </w:style>
  <w:style w:type="character" w:styleId="8">
    <w:name w:val="Hyperlink"/>
    <w:qFormat/>
    <w:uiPriority w:val="0"/>
    <w:rPr>
      <w:color w:val="0000FF"/>
      <w:u w:val="none"/>
    </w:rPr>
  </w:style>
  <w:style w:type="character" w:customStyle="1" w:styleId="9">
    <w:name w:val="页脚 Char1"/>
    <w:link w:val="4"/>
    <w:qFormat/>
    <w:uiPriority w:val="99"/>
    <w:rPr>
      <w:rFonts w:ascii="Calibri" w:hAnsi="Calibri" w:eastAsia="仿宋"/>
      <w:sz w:val="18"/>
      <w:szCs w:val="18"/>
    </w:rPr>
  </w:style>
  <w:style w:type="character" w:customStyle="1" w:styleId="10">
    <w:name w:val="页眉 Char1"/>
    <w:link w:val="5"/>
    <w:qFormat/>
    <w:uiPriority w:val="0"/>
    <w:rPr>
      <w:rFonts w:ascii="Calibri" w:hAnsi="Calibri" w:eastAsia="仿宋"/>
      <w:sz w:val="18"/>
      <w:szCs w:val="18"/>
    </w:rPr>
  </w:style>
  <w:style w:type="character" w:customStyle="1" w:styleId="11">
    <w:name w:val="页眉 Char"/>
    <w:basedOn w:val="7"/>
    <w:semiHidden/>
    <w:qFormat/>
    <w:uiPriority w:val="99"/>
    <w:rPr>
      <w:rFonts w:ascii="Calibri" w:hAnsi="Calibri" w:eastAsia="仿宋" w:cs="Times New Roman"/>
      <w:sz w:val="18"/>
      <w:szCs w:val="18"/>
    </w:rPr>
  </w:style>
  <w:style w:type="character" w:customStyle="1" w:styleId="12">
    <w:name w:val="页脚 Char"/>
    <w:basedOn w:val="7"/>
    <w:qFormat/>
    <w:uiPriority w:val="99"/>
    <w:rPr>
      <w:rFonts w:ascii="Calibri" w:hAnsi="Calibri" w:eastAsia="仿宋" w:cs="Times New Roman"/>
      <w:sz w:val="18"/>
      <w:szCs w:val="18"/>
    </w:rPr>
  </w:style>
  <w:style w:type="character" w:customStyle="1" w:styleId="13">
    <w:name w:val="批注框文本 Char"/>
    <w:basedOn w:val="7"/>
    <w:link w:val="3"/>
    <w:semiHidden/>
    <w:qFormat/>
    <w:uiPriority w:val="99"/>
    <w:rPr>
      <w:rFonts w:ascii="Calibri" w:hAnsi="Calibri" w:eastAsia="仿宋" w:cs="Times New Roman"/>
      <w:sz w:val="18"/>
      <w:szCs w:val="18"/>
    </w:rPr>
  </w:style>
  <w:style w:type="character" w:customStyle="1" w:styleId="14">
    <w:name w:val="日期 Char"/>
    <w:basedOn w:val="7"/>
    <w:link w:val="2"/>
    <w:semiHidden/>
    <w:qFormat/>
    <w:uiPriority w:val="99"/>
    <w:rPr>
      <w:rFonts w:ascii="Calibri" w:hAnsi="Calibri" w:eastAsia="仿宋"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chart" Target="charts/chart2.xml"/><Relationship Id="rId21" Type="http://schemas.openxmlformats.org/officeDocument/2006/relationships/chart" Target="charts/chart1.xml"/><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ED7D3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[工作簿1]Sheet1!$A$48:$A$49</c:f>
              <c:strCache>
                <c:ptCount val="2"/>
                <c:pt idx="0">
                  <c:v>校内师生员工</c:v>
                </c:pt>
                <c:pt idx="1">
                  <c:v>校外人员</c:v>
                </c:pt>
              </c:strCache>
            </c:strRef>
          </c:cat>
          <c:val>
            <c:numRef>
              <c:f>[工作簿1]Sheet1!$B$48:$B$49</c:f>
              <c:numCache>
                <c:formatCode>General</c:formatCode>
                <c:ptCount val="2"/>
                <c:pt idx="0">
                  <c:v>32</c:v>
                </c:pt>
                <c:pt idx="1">
                  <c:v>24</c:v>
                </c:pt>
              </c:numCache>
            </c:numRef>
          </c:val>
        </c:ser>
        <c:dLbls>
          <c:showLegendKey val="0"/>
          <c:showVal val="1"/>
          <c:showCatName val="0"/>
          <c:showSerName val="0"/>
          <c:showPercent val="0"/>
          <c:showBubbleSize val="0"/>
        </c:dLbls>
        <c:gapWidth val="219"/>
        <c:overlap val="-27"/>
        <c:axId val="14519232"/>
        <c:axId val="579342549"/>
      </c:barChart>
      <c:catAx>
        <c:axId val="14519232"/>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579342549"/>
        <c:crosses val="autoZero"/>
        <c:auto val="1"/>
        <c:lblAlgn val="ctr"/>
        <c:lblOffset val="100"/>
        <c:noMultiLvlLbl val="0"/>
      </c:catAx>
      <c:valAx>
        <c:axId val="579342549"/>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14519232"/>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ED7D3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[工作簿1]Sheet1!$A$33:$A$37</c:f>
              <c:strCache>
                <c:ptCount val="5"/>
                <c:pt idx="0">
                  <c:v>信函</c:v>
                </c:pt>
                <c:pt idx="1">
                  <c:v>邮政快递</c:v>
                </c:pt>
                <c:pt idx="2">
                  <c:v>现场提交</c:v>
                </c:pt>
                <c:pt idx="3">
                  <c:v>电子邮件</c:v>
                </c:pt>
                <c:pt idx="4">
                  <c:v>在线提交</c:v>
                </c:pt>
              </c:strCache>
            </c:strRef>
          </c:cat>
          <c:val>
            <c:numRef>
              <c:f>[工作簿1]Sheet1!$B$33:$B$37</c:f>
              <c:numCache>
                <c:formatCode>General</c:formatCode>
                <c:ptCount val="5"/>
                <c:pt idx="0">
                  <c:v>1</c:v>
                </c:pt>
                <c:pt idx="1">
                  <c:v>3</c:v>
                </c:pt>
                <c:pt idx="2">
                  <c:v>1</c:v>
                </c:pt>
                <c:pt idx="3">
                  <c:v>11</c:v>
                </c:pt>
                <c:pt idx="4">
                  <c:v>40</c:v>
                </c:pt>
              </c:numCache>
            </c:numRef>
          </c:val>
        </c:ser>
        <c:dLbls>
          <c:showLegendKey val="0"/>
          <c:showVal val="1"/>
          <c:showCatName val="0"/>
          <c:showSerName val="0"/>
          <c:showPercent val="0"/>
          <c:showBubbleSize val="0"/>
        </c:dLbls>
        <c:gapWidth val="219"/>
        <c:overlap val="-27"/>
        <c:axId val="104077826"/>
        <c:axId val="610237970"/>
      </c:barChart>
      <c:catAx>
        <c:axId val="104077826"/>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610237970"/>
        <c:crosses val="autoZero"/>
        <c:auto val="1"/>
        <c:lblAlgn val="ctr"/>
        <c:lblOffset val="100"/>
        <c:noMultiLvlLbl val="0"/>
      </c:catAx>
      <c:valAx>
        <c:axId val="610237970"/>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104077826"/>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5B9BD5"/>
  <a:srgbClr val="ED7D31"/>
  <a:srgbClr val="A5A5A5"/>
  <a:srgbClr val="FFC000"/>
  <a:srgbClr val="4472C4"/>
  <a:srgbClr val="70AD47"/>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5B9BD5"/>
  <a:srgbClr val="ED7D31"/>
  <a:srgbClr val="A5A5A5"/>
  <a:srgbClr val="FFC000"/>
  <a:srgbClr val="4472C4"/>
  <a:srgbClr val="70AD47"/>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29</Pages>
  <Words>8191</Words>
  <Characters>12251</Characters>
  <Lines>16</Lines>
  <Paragraphs>4</Paragraphs>
  <TotalTime>2</TotalTime>
  <ScaleCrop>false</ScaleCrop>
  <LinksUpToDate>false</LinksUpToDate>
  <CharactersWithSpaces>12303</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2019-01-26T07:29:00Z</dcterms:created>
  <dc:creator>学校办公室管理员</dc:creator>
  <cp:lastModifiedBy>张璐</cp:lastModifiedBy>
  <cp:lastPrinted>2019-01-24T02:25:00Z</cp:lastPrinted>
  <dcterms:modified xsi:type="dcterms:W3CDTF">2019-10-28T08:12:57Z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